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E5AFF">
      <w:pPr>
        <w:rPr>
          <w:rFonts w:eastAsia="Times New Roman" w:cs="Times New Roman"/>
        </w:rPr>
      </w:pPr>
      <w:bookmarkStart w:id="0" w:name="_GoBack"/>
      <w:bookmarkEnd w:id="0"/>
      <w:r>
        <w:rPr>
          <w:rFonts w:eastAsia="Times New Roman" w:cs="Times New Roman"/>
        </w:rPr>
        <w:t>F-1/A</w:t>
      </w:r>
      <w:r>
        <w:rPr>
          <w:rFonts w:eastAsia="Times New Roman" w:cs="Times New Roman"/>
        </w:rPr>
        <w:t xml:space="preserve"> </w:t>
      </w:r>
      <w:r>
        <w:rPr>
          <w:rFonts w:eastAsia="Times New Roman" w:cs="Times New Roman"/>
        </w:rPr>
        <w:t>1</w:t>
      </w:r>
      <w:r>
        <w:rPr>
          <w:rFonts w:eastAsia="Times New Roman" w:cs="Times New Roman"/>
        </w:rPr>
        <w:t xml:space="preserve"> </w:t>
      </w:r>
      <w:r>
        <w:rPr>
          <w:rFonts w:eastAsia="Times New Roman" w:cs="Times New Roman"/>
        </w:rPr>
        <w:t>d343004df1a.htm</w:t>
      </w:r>
      <w:r>
        <w:rPr>
          <w:rFonts w:eastAsia="Times New Roman" w:cs="Times New Roman"/>
        </w:rPr>
        <w:t xml:space="preserve"> </w:t>
      </w:r>
      <w:r>
        <w:rPr>
          <w:rFonts w:eastAsia="Times New Roman" w:cs="Times New Roman"/>
        </w:rPr>
        <w:t>AMENDMENT NO. 2 TO FORM F-1</w:t>
      </w:r>
      <w:r>
        <w:rPr>
          <w:rFonts w:eastAsia="Times New Roman" w:cs="Times New Roman"/>
        </w:rPr>
        <w:t xml:space="preserve"> </w:t>
      </w:r>
    </w:p>
    <w:p w:rsidR="00000000" w:rsidRDefault="003E5AFF">
      <w:pPr>
        <w:pStyle w:val="Heading5"/>
        <w:rPr>
          <w:rFonts w:eastAsia="Times New Roman" w:cs="Times New Roman"/>
        </w:rPr>
      </w:pPr>
      <w:hyperlink r:id="rId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r>
        <w:rPr>
          <w:rFonts w:ascii="Arial" w:hAnsi="Arial" w:cs="Arial"/>
          <w:b/>
          <w:bCs/>
          <w:sz w:val="15"/>
          <w:szCs w:val="15"/>
        </w:rPr>
        <w:t xml:space="preserve">As filed with the Securities and Exchange Commission on June 8, 2012 </w:t>
      </w:r>
    </w:p>
    <w:p w:rsidR="00000000" w:rsidRDefault="003E5AFF">
      <w:pPr>
        <w:pStyle w:val="NormalWeb"/>
        <w:spacing w:before="0" w:beforeAutospacing="0" w:after="0" w:afterAutospacing="0"/>
        <w:jc w:val="right"/>
      </w:pPr>
      <w:r>
        <w:rPr>
          <w:rFonts w:ascii="Arial" w:hAnsi="Arial" w:cs="Arial"/>
          <w:b/>
          <w:bCs/>
          <w:sz w:val="15"/>
          <w:szCs w:val="15"/>
        </w:rPr>
        <w:t xml:space="preserve">Registration No. 333-181711 </w:t>
      </w:r>
    </w:p>
    <w:p w:rsidR="00000000" w:rsidRDefault="003E5AFF">
      <w:pPr>
        <w:pStyle w:val="NormalWeb"/>
        <w:pBdr>
          <w:bottom w:val="single" w:sz="8" w:space="0" w:color="000000"/>
        </w:pBdr>
        <w:spacing w:before="0" w:beforeAutospacing="0" w:after="30" w:afterAutospacing="0" w:line="45" w:lineRule="atLeast"/>
      </w:pPr>
      <w:r>
        <w:t> </w:t>
      </w:r>
    </w:p>
    <w:p w:rsidR="00000000" w:rsidRDefault="003E5AFF">
      <w:pPr>
        <w:pStyle w:val="NormalWeb"/>
        <w:spacing w:before="0" w:beforeAutospacing="0" w:after="0" w:afterAutospacing="0"/>
        <w:jc w:val="center"/>
      </w:pPr>
      <w:r>
        <w:rPr>
          <w:rFonts w:ascii="Arial" w:hAnsi="Arial" w:cs="Arial"/>
          <w:b/>
          <w:bCs/>
          <w:sz w:val="24"/>
          <w:szCs w:val="24"/>
        </w:rPr>
        <w:t xml:space="preserve">UNITED STATES </w:t>
      </w:r>
    </w:p>
    <w:p w:rsidR="00000000" w:rsidRDefault="003E5AFF">
      <w:pPr>
        <w:pStyle w:val="NormalWeb"/>
        <w:spacing w:before="0" w:beforeAutospacing="0" w:after="0" w:afterAutospacing="0"/>
        <w:jc w:val="center"/>
      </w:pPr>
      <w:r>
        <w:rPr>
          <w:rFonts w:ascii="Arial" w:hAnsi="Arial" w:cs="Arial"/>
          <w:b/>
          <w:bCs/>
          <w:sz w:val="24"/>
          <w:szCs w:val="24"/>
        </w:rPr>
        <w:t xml:space="preserve">SECURITIES AND EXCHANGE COMMISSION </w:t>
      </w:r>
    </w:p>
    <w:p w:rsidR="00000000" w:rsidRDefault="003E5AFF">
      <w:pPr>
        <w:pStyle w:val="NormalWeb"/>
        <w:spacing w:before="0" w:beforeAutospacing="0" w:after="0" w:afterAutospacing="0"/>
        <w:jc w:val="center"/>
      </w:pPr>
      <w:r>
        <w:rPr>
          <w:rFonts w:ascii="Arial" w:hAnsi="Arial" w:cs="Arial"/>
          <w:b/>
          <w:bCs/>
        </w:rPr>
        <w:t xml:space="preserve">Washington, D.C. 20549 </w:t>
      </w:r>
    </w:p>
    <w:p w:rsidR="00000000" w:rsidRDefault="003E5AFF">
      <w:pPr>
        <w:pStyle w:val="NormalWeb"/>
        <w:spacing w:before="60" w:beforeAutospacing="0" w:after="0" w:afterAutospacing="0"/>
        <w:jc w:val="center"/>
      </w:pPr>
      <w:r>
        <w:rPr>
          <w:rFonts w:ascii="Arial" w:hAnsi="Arial" w:cs="Arial"/>
          <w:b/>
          <w:bCs/>
          <w:sz w:val="27"/>
          <w:szCs w:val="27"/>
        </w:rPr>
        <w:t xml:space="preserve">Amendment No. 2 </w:t>
      </w:r>
    </w:p>
    <w:p w:rsidR="00000000" w:rsidRDefault="003E5AFF">
      <w:pPr>
        <w:pStyle w:val="NormalWeb"/>
        <w:spacing w:before="0" w:beforeAutospacing="0" w:after="0" w:afterAutospacing="0"/>
        <w:jc w:val="center"/>
      </w:pPr>
      <w:r>
        <w:rPr>
          <w:rFonts w:ascii="Arial" w:hAnsi="Arial" w:cs="Arial"/>
          <w:b/>
          <w:bCs/>
          <w:sz w:val="27"/>
          <w:szCs w:val="27"/>
        </w:rPr>
        <w:t xml:space="preserve">to </w:t>
      </w:r>
    </w:p>
    <w:p w:rsidR="00000000" w:rsidRDefault="003E5AFF">
      <w:pPr>
        <w:pStyle w:val="NormalWeb"/>
        <w:spacing w:before="0" w:beforeAutospacing="0" w:after="0" w:afterAutospacing="0"/>
        <w:jc w:val="center"/>
      </w:pPr>
      <w:r>
        <w:rPr>
          <w:rFonts w:ascii="Arial" w:hAnsi="Arial" w:cs="Arial"/>
          <w:b/>
          <w:bCs/>
          <w:sz w:val="27"/>
          <w:szCs w:val="27"/>
        </w:rPr>
        <w:t xml:space="preserve">FORM F-1 </w:t>
      </w:r>
    </w:p>
    <w:p w:rsidR="00000000" w:rsidRDefault="003E5AFF">
      <w:pPr>
        <w:pStyle w:val="NormalWeb"/>
        <w:spacing w:before="60" w:beforeAutospacing="0" w:after="0" w:afterAutospacing="0"/>
        <w:jc w:val="center"/>
      </w:pPr>
      <w:r>
        <w:rPr>
          <w:rFonts w:ascii="Arial" w:hAnsi="Arial" w:cs="Arial"/>
          <w:b/>
          <w:bCs/>
          <w:sz w:val="15"/>
          <w:szCs w:val="15"/>
        </w:rPr>
        <w:t xml:space="preserve">REGISTRATION STATEMENT UNDER THE SECURITIES ACT OF 1933 </w:t>
      </w:r>
    </w:p>
    <w:p w:rsidR="00000000" w:rsidRDefault="003E5AFF">
      <w:pPr>
        <w:pStyle w:val="NormalWeb"/>
        <w:spacing w:before="60" w:beforeAutospacing="0" w:after="0" w:afterAutospacing="0"/>
        <w:jc w:val="center"/>
      </w:pPr>
      <w:r>
        <w:rPr>
          <w:rFonts w:ascii="Arial" w:hAnsi="Arial" w:cs="Arial"/>
          <w:b/>
          <w:bCs/>
          <w:sz w:val="27"/>
          <w:szCs w:val="27"/>
        </w:rPr>
        <w:t xml:space="preserve">Cencosud S.A. </w:t>
      </w:r>
    </w:p>
    <w:p w:rsidR="00000000" w:rsidRDefault="003E5AFF">
      <w:pPr>
        <w:pStyle w:val="NormalWeb"/>
        <w:spacing w:before="0" w:beforeAutospacing="0" w:after="0" w:afterAutospacing="0"/>
        <w:jc w:val="center"/>
      </w:pPr>
      <w:r>
        <w:rPr>
          <w:rFonts w:ascii="Arial" w:hAnsi="Arial" w:cs="Arial"/>
          <w:i/>
          <w:iCs/>
          <w:sz w:val="15"/>
          <w:szCs w:val="15"/>
        </w:rPr>
        <w:t>(Exact name of Registrant as specified in its c</w:t>
      </w:r>
      <w:r>
        <w:rPr>
          <w:rFonts w:ascii="Arial" w:hAnsi="Arial" w:cs="Arial"/>
          <w:i/>
          <w:iCs/>
          <w:sz w:val="15"/>
          <w:szCs w:val="15"/>
        </w:rPr>
        <w:t xml:space="preserve">harter) </w:t>
      </w:r>
    </w:p>
    <w:p w:rsidR="00000000" w:rsidRDefault="003E5AFF">
      <w:pPr>
        <w:pStyle w:val="NormalWeb"/>
        <w:spacing w:before="60" w:beforeAutospacing="0" w:after="0" w:afterAutospacing="0"/>
        <w:jc w:val="center"/>
      </w:pPr>
      <w:r>
        <w:rPr>
          <w:rFonts w:ascii="Arial" w:hAnsi="Arial" w:cs="Arial"/>
          <w:b/>
          <w:bCs/>
          <w:sz w:val="15"/>
          <w:szCs w:val="15"/>
        </w:rPr>
        <w:t xml:space="preserve">Not Applicable </w:t>
      </w:r>
    </w:p>
    <w:p w:rsidR="00000000" w:rsidRDefault="003E5AFF">
      <w:pPr>
        <w:pStyle w:val="NormalWeb"/>
        <w:spacing w:before="0" w:beforeAutospacing="0" w:after="0" w:afterAutospacing="0"/>
        <w:jc w:val="center"/>
      </w:pPr>
      <w:r>
        <w:rPr>
          <w:rFonts w:ascii="Arial" w:hAnsi="Arial" w:cs="Arial"/>
          <w:i/>
          <w:iCs/>
          <w:sz w:val="15"/>
          <w:szCs w:val="15"/>
        </w:rPr>
        <w:t xml:space="preserve">(Translation of Registrant_s name into English) </w:t>
      </w:r>
    </w:p>
    <w:p w:rsidR="00000000" w:rsidRDefault="003E5AFF">
      <w:pPr>
        <w:pStyle w:val="NormalWeb"/>
        <w:spacing w:before="0" w:beforeAutospacing="0" w:after="0" w:afterAutospacing="0"/>
        <w:rPr>
          <w:sz w:val="6"/>
          <w:szCs w:val="6"/>
        </w:rPr>
      </w:pPr>
      <w:r>
        <w:rPr>
          <w:sz w:val="6"/>
          <w:szCs w:val="6"/>
        </w:rPr>
        <w:t> </w:t>
      </w:r>
    </w:p>
    <w:tbl>
      <w:tblPr>
        <w:tblW w:w="5000" w:type="pct"/>
        <w:jc w:val="center"/>
        <w:tblCellMar>
          <w:left w:w="0" w:type="dxa"/>
          <w:right w:w="0" w:type="dxa"/>
        </w:tblCellMar>
        <w:tblLook w:val="04A0" w:firstRow="1" w:lastRow="0" w:firstColumn="1" w:lastColumn="0" w:noHBand="0" w:noVBand="1"/>
      </w:tblPr>
      <w:tblGrid>
        <w:gridCol w:w="2824"/>
        <w:gridCol w:w="83"/>
        <w:gridCol w:w="2658"/>
        <w:gridCol w:w="83"/>
        <w:gridCol w:w="2658"/>
      </w:tblGrid>
      <w:tr w:rsidR="00000000">
        <w:trPr>
          <w:jc w:val="center"/>
        </w:trPr>
        <w:tc>
          <w:tcPr>
            <w:tcW w:w="170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160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1600" w:type="pct"/>
            <w:vAlign w:val="center"/>
            <w:hideMark/>
          </w:tcPr>
          <w:p w:rsidR="00000000" w:rsidRDefault="003E5AFF">
            <w:pPr>
              <w:rPr>
                <w:rFonts w:eastAsia="Times New Roman" w:cs="Times New Roman"/>
              </w:rPr>
            </w:pPr>
          </w:p>
        </w:tc>
      </w:tr>
      <w:tr w:rsidR="00000000">
        <w:trPr>
          <w:jc w:val="center"/>
        </w:trPr>
        <w:tc>
          <w:tcPr>
            <w:tcW w:w="0" w:type="auto"/>
            <w:vAlign w:val="bottom"/>
            <w:hideMark/>
          </w:tcPr>
          <w:p w:rsidR="00000000" w:rsidRDefault="003E5AFF">
            <w:pPr>
              <w:jc w:val="center"/>
              <w:rPr>
                <w:rFonts w:eastAsia="Times New Roman" w:cs="Times New Roman"/>
              </w:rPr>
            </w:pPr>
            <w:r>
              <w:rPr>
                <w:rFonts w:ascii="Arial" w:eastAsia="Times New Roman" w:hAnsi="Arial" w:cs="Arial"/>
                <w:b/>
                <w:bCs/>
                <w:sz w:val="15"/>
                <w:szCs w:val="15"/>
              </w:rPr>
              <w:t>Republic of 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center"/>
              <w:rPr>
                <w:rFonts w:eastAsia="Times New Roman" w:cs="Times New Roman"/>
              </w:rPr>
            </w:pPr>
            <w:r>
              <w:rPr>
                <w:rFonts w:ascii="Arial" w:eastAsia="Times New Roman" w:hAnsi="Arial" w:cs="Arial"/>
                <w:b/>
                <w:bCs/>
                <w:sz w:val="15"/>
                <w:szCs w:val="15"/>
              </w:rPr>
              <w:t>5331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center"/>
              <w:rPr>
                <w:rFonts w:eastAsia="Times New Roman" w:cs="Times New Roman"/>
              </w:rPr>
            </w:pPr>
            <w:r>
              <w:rPr>
                <w:rFonts w:ascii="Arial" w:eastAsia="Times New Roman" w:hAnsi="Arial" w:cs="Arial"/>
                <w:b/>
                <w:bCs/>
                <w:sz w:val="15"/>
                <w:szCs w:val="15"/>
              </w:rPr>
              <w:t>None</w:t>
            </w:r>
          </w:p>
        </w:tc>
      </w:tr>
      <w:tr w:rsidR="00000000">
        <w:trPr>
          <w:jc w:val="center"/>
        </w:trPr>
        <w:tc>
          <w:tcPr>
            <w:tcW w:w="0" w:type="auto"/>
            <w:hideMark/>
          </w:tcPr>
          <w:p w:rsidR="00000000" w:rsidRDefault="003E5AFF">
            <w:pPr>
              <w:pStyle w:val="NormalWeb"/>
              <w:spacing w:before="0" w:beforeAutospacing="0" w:after="0" w:afterAutospacing="0"/>
              <w:ind w:left="240" w:hanging="240"/>
              <w:jc w:val="center"/>
            </w:pPr>
            <w:r>
              <w:rPr>
                <w:rFonts w:ascii="Arial" w:hAnsi="Arial" w:cs="Arial"/>
                <w:i/>
                <w:iCs/>
                <w:sz w:val="15"/>
                <w:szCs w:val="15"/>
              </w:rPr>
              <w:t>(State or other jurisdiction of</w:t>
            </w:r>
          </w:p>
          <w:p w:rsidR="00000000" w:rsidRDefault="003E5AFF">
            <w:pPr>
              <w:pStyle w:val="NormalWeb"/>
              <w:spacing w:before="0" w:beforeAutospacing="0" w:after="15" w:afterAutospacing="0"/>
              <w:ind w:left="240" w:hanging="240"/>
              <w:jc w:val="center"/>
            </w:pPr>
            <w:r>
              <w:rPr>
                <w:rFonts w:ascii="Arial" w:hAnsi="Arial" w:cs="Arial"/>
                <w:i/>
                <w:iCs/>
                <w:sz w:val="15"/>
                <w:szCs w:val="15"/>
              </w:rPr>
              <w:t>incorporation or organization)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pStyle w:val="NormalWeb"/>
              <w:spacing w:before="0" w:beforeAutospacing="0" w:after="0" w:afterAutospacing="0"/>
              <w:jc w:val="center"/>
            </w:pPr>
            <w:r>
              <w:rPr>
                <w:rFonts w:ascii="Arial" w:hAnsi="Arial" w:cs="Arial"/>
                <w:i/>
                <w:iCs/>
                <w:sz w:val="15"/>
                <w:szCs w:val="15"/>
              </w:rPr>
              <w:t>(Primary Standard Industrial</w:t>
            </w:r>
          </w:p>
          <w:p w:rsidR="00000000" w:rsidRDefault="003E5AFF">
            <w:pPr>
              <w:pStyle w:val="NormalWeb"/>
              <w:spacing w:before="0" w:beforeAutospacing="0" w:after="15" w:afterAutospacing="0"/>
              <w:jc w:val="center"/>
            </w:pPr>
            <w:r>
              <w:rPr>
                <w:rFonts w:ascii="Arial" w:hAnsi="Arial" w:cs="Arial"/>
                <w:i/>
                <w:iCs/>
                <w:sz w:val="15"/>
                <w:szCs w:val="15"/>
              </w:rPr>
              <w:t>Classification Code Number)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pStyle w:val="NormalWeb"/>
              <w:spacing w:before="0" w:beforeAutospacing="0" w:after="0" w:afterAutospacing="0"/>
              <w:jc w:val="center"/>
            </w:pPr>
            <w:r>
              <w:rPr>
                <w:rFonts w:ascii="Arial" w:hAnsi="Arial" w:cs="Arial"/>
                <w:i/>
                <w:iCs/>
                <w:sz w:val="15"/>
                <w:szCs w:val="15"/>
              </w:rPr>
              <w:t>(I.R.S. Employer</w:t>
            </w:r>
          </w:p>
          <w:p w:rsidR="00000000" w:rsidRDefault="003E5AFF">
            <w:pPr>
              <w:pStyle w:val="NormalWeb"/>
              <w:spacing w:before="0" w:beforeAutospacing="0" w:after="15" w:afterAutospacing="0"/>
              <w:jc w:val="center"/>
            </w:pPr>
            <w:r>
              <w:rPr>
                <w:rFonts w:ascii="Arial" w:hAnsi="Arial" w:cs="Arial"/>
                <w:i/>
                <w:iCs/>
                <w:sz w:val="15"/>
                <w:szCs w:val="15"/>
              </w:rPr>
              <w:t>Identification Number)</w:t>
            </w:r>
          </w:p>
        </w:tc>
      </w:tr>
    </w:tbl>
    <w:p w:rsidR="00000000" w:rsidRDefault="003E5AFF">
      <w:pPr>
        <w:pStyle w:val="NormalWeb"/>
        <w:spacing w:before="60" w:beforeAutospacing="0" w:after="0" w:afterAutospacing="0"/>
        <w:jc w:val="center"/>
      </w:pPr>
      <w:r>
        <w:rPr>
          <w:rFonts w:ascii="Arial" w:hAnsi="Arial" w:cs="Arial"/>
          <w:b/>
          <w:bCs/>
          <w:sz w:val="15"/>
          <w:szCs w:val="15"/>
        </w:rPr>
        <w:t xml:space="preserve">Av. Kennedy 9001, Piso 6 </w:t>
      </w:r>
    </w:p>
    <w:p w:rsidR="00000000" w:rsidRDefault="003E5AFF">
      <w:pPr>
        <w:pStyle w:val="NormalWeb"/>
        <w:spacing w:before="0" w:beforeAutospacing="0" w:after="0" w:afterAutospacing="0"/>
        <w:jc w:val="center"/>
      </w:pPr>
      <w:r>
        <w:rPr>
          <w:rFonts w:ascii="Arial" w:hAnsi="Arial" w:cs="Arial"/>
          <w:b/>
          <w:bCs/>
          <w:sz w:val="15"/>
          <w:szCs w:val="15"/>
        </w:rPr>
        <w:t xml:space="preserve">Las Condes, Santiago, Chile </w:t>
      </w:r>
    </w:p>
    <w:p w:rsidR="00000000" w:rsidRDefault="003E5AFF">
      <w:pPr>
        <w:pStyle w:val="NormalWeb"/>
        <w:spacing w:before="0" w:beforeAutospacing="0" w:after="0" w:afterAutospacing="0"/>
        <w:jc w:val="center"/>
      </w:pPr>
      <w:r>
        <w:rPr>
          <w:rFonts w:ascii="Arial" w:hAnsi="Arial" w:cs="Arial"/>
          <w:b/>
          <w:bCs/>
          <w:sz w:val="15"/>
          <w:szCs w:val="15"/>
        </w:rPr>
        <w:t xml:space="preserve">+56 (2) 959-0000 </w:t>
      </w:r>
    </w:p>
    <w:p w:rsidR="00000000" w:rsidRDefault="003E5AFF">
      <w:pPr>
        <w:pStyle w:val="NormalWeb"/>
        <w:spacing w:before="60" w:beforeAutospacing="0" w:after="0" w:afterAutospacing="0"/>
        <w:jc w:val="center"/>
      </w:pPr>
      <w:r>
        <w:rPr>
          <w:rFonts w:ascii="Arial" w:hAnsi="Arial" w:cs="Arial"/>
          <w:i/>
          <w:iCs/>
          <w:sz w:val="15"/>
          <w:szCs w:val="15"/>
        </w:rPr>
        <w:t>(Address, including zip code, and telephone number, including area code, of registrant_s principal executive of</w:t>
      </w:r>
      <w:r>
        <w:rPr>
          <w:rFonts w:ascii="Arial" w:hAnsi="Arial" w:cs="Arial"/>
          <w:i/>
          <w:iCs/>
          <w:sz w:val="15"/>
          <w:szCs w:val="15"/>
        </w:rPr>
        <w:t xml:space="preserve">fices) </w:t>
      </w:r>
    </w:p>
    <w:p w:rsidR="00000000" w:rsidRDefault="003E5AFF">
      <w:pPr>
        <w:pStyle w:val="NormalWeb"/>
        <w:spacing w:before="0" w:beforeAutospacing="0" w:after="0" w:afterAutospacing="0"/>
        <w:rPr>
          <w:sz w:val="6"/>
          <w:szCs w:val="6"/>
        </w:rPr>
      </w:pPr>
      <w:r>
        <w:rPr>
          <w:sz w:val="6"/>
          <w:szCs w:val="6"/>
        </w:rPr>
        <w:t> </w:t>
      </w:r>
    </w:p>
    <w:p w:rsidR="00000000" w:rsidRDefault="003E5AFF">
      <w:pPr>
        <w:pStyle w:val="NormalWeb"/>
        <w:pBdr>
          <w:bottom w:val="single" w:sz="8" w:space="0" w:color="000000"/>
        </w:pBdr>
        <w:spacing w:before="0" w:beforeAutospacing="0" w:after="30" w:afterAutospacing="0" w:line="90" w:lineRule="atLeast"/>
        <w:jc w:val="center"/>
      </w:pPr>
      <w:r>
        <w:t> </w:t>
      </w:r>
    </w:p>
    <w:p w:rsidR="00000000" w:rsidRDefault="003E5AFF">
      <w:pPr>
        <w:pStyle w:val="NormalWeb"/>
        <w:spacing w:before="60" w:beforeAutospacing="0" w:after="0" w:afterAutospacing="0"/>
        <w:jc w:val="center"/>
      </w:pPr>
      <w:r>
        <w:rPr>
          <w:rFonts w:ascii="Arial" w:hAnsi="Arial" w:cs="Arial"/>
          <w:b/>
          <w:bCs/>
          <w:sz w:val="15"/>
          <w:szCs w:val="15"/>
        </w:rPr>
        <w:t xml:space="preserve">CT Corporation System </w:t>
      </w:r>
    </w:p>
    <w:p w:rsidR="00000000" w:rsidRDefault="003E5AFF">
      <w:pPr>
        <w:pStyle w:val="NormalWeb"/>
        <w:spacing w:before="0" w:beforeAutospacing="0" w:after="0" w:afterAutospacing="0"/>
        <w:jc w:val="center"/>
      </w:pPr>
      <w:r>
        <w:rPr>
          <w:rFonts w:ascii="Arial" w:hAnsi="Arial" w:cs="Arial"/>
          <w:b/>
          <w:bCs/>
          <w:sz w:val="15"/>
          <w:szCs w:val="15"/>
        </w:rPr>
        <w:t xml:space="preserve">111 Eighth Avenue, 13th Floor </w:t>
      </w:r>
    </w:p>
    <w:p w:rsidR="00000000" w:rsidRDefault="003E5AFF">
      <w:pPr>
        <w:pStyle w:val="NormalWeb"/>
        <w:spacing w:before="0" w:beforeAutospacing="0" w:after="0" w:afterAutospacing="0"/>
        <w:jc w:val="center"/>
      </w:pPr>
      <w:r>
        <w:rPr>
          <w:rFonts w:ascii="Arial" w:hAnsi="Arial" w:cs="Arial"/>
          <w:b/>
          <w:bCs/>
          <w:sz w:val="15"/>
          <w:szCs w:val="15"/>
        </w:rPr>
        <w:t xml:space="preserve">New York, NY 10011 </w:t>
      </w:r>
    </w:p>
    <w:p w:rsidR="00000000" w:rsidRDefault="003E5AFF">
      <w:pPr>
        <w:pStyle w:val="NormalWeb"/>
        <w:spacing w:before="0" w:beforeAutospacing="0" w:after="0" w:afterAutospacing="0"/>
        <w:jc w:val="center"/>
      </w:pPr>
      <w:r>
        <w:rPr>
          <w:rFonts w:ascii="Arial" w:hAnsi="Arial" w:cs="Arial"/>
          <w:b/>
          <w:bCs/>
          <w:sz w:val="15"/>
          <w:szCs w:val="15"/>
        </w:rPr>
        <w:t xml:space="preserve">(212) 590-9200 </w:t>
      </w:r>
    </w:p>
    <w:p w:rsidR="00000000" w:rsidRDefault="003E5AFF">
      <w:pPr>
        <w:pStyle w:val="NormalWeb"/>
        <w:spacing w:before="60" w:beforeAutospacing="0" w:after="0" w:afterAutospacing="0"/>
        <w:jc w:val="center"/>
      </w:pPr>
      <w:r>
        <w:rPr>
          <w:rFonts w:ascii="Arial" w:hAnsi="Arial" w:cs="Arial"/>
          <w:i/>
          <w:iCs/>
          <w:sz w:val="15"/>
          <w:szCs w:val="15"/>
        </w:rPr>
        <w:t xml:space="preserve">(Name, address, including zip code, and telephone number, including area code, of agent for service) </w:t>
      </w:r>
    </w:p>
    <w:p w:rsidR="00000000" w:rsidRDefault="003E5AFF">
      <w:pPr>
        <w:pStyle w:val="NormalWeb"/>
        <w:spacing w:before="0" w:beforeAutospacing="0" w:after="0" w:afterAutospacing="0"/>
        <w:rPr>
          <w:sz w:val="6"/>
          <w:szCs w:val="6"/>
        </w:rPr>
      </w:pPr>
      <w:r>
        <w:rPr>
          <w:sz w:val="6"/>
          <w:szCs w:val="6"/>
        </w:rPr>
        <w:t> </w:t>
      </w:r>
    </w:p>
    <w:p w:rsidR="00000000" w:rsidRDefault="003E5AFF">
      <w:pPr>
        <w:pStyle w:val="NormalWeb"/>
        <w:pBdr>
          <w:bottom w:val="single" w:sz="8" w:space="0" w:color="000000"/>
        </w:pBdr>
        <w:spacing w:before="0" w:beforeAutospacing="0" w:after="30" w:afterAutospacing="0" w:line="90" w:lineRule="atLeast"/>
        <w:jc w:val="center"/>
      </w:pPr>
      <w:r>
        <w:t> </w:t>
      </w:r>
    </w:p>
    <w:p w:rsidR="00000000" w:rsidRDefault="003E5AFF">
      <w:pPr>
        <w:pStyle w:val="NormalWeb"/>
        <w:spacing w:before="60" w:beforeAutospacing="0" w:after="0" w:afterAutospacing="0"/>
        <w:jc w:val="center"/>
      </w:pPr>
      <w:r>
        <w:rPr>
          <w:rFonts w:ascii="Arial" w:hAnsi="Arial" w:cs="Arial"/>
          <w:b/>
          <w:bCs/>
          <w:i/>
          <w:iCs/>
          <w:sz w:val="15"/>
          <w:szCs w:val="15"/>
        </w:rPr>
        <w:t xml:space="preserve">Copies to: </w:t>
      </w:r>
    </w:p>
    <w:p w:rsidR="00000000" w:rsidRDefault="003E5AFF">
      <w:pPr>
        <w:pStyle w:val="NormalWeb"/>
        <w:spacing w:before="0" w:beforeAutospacing="0" w:after="0" w:afterAutospacing="0"/>
        <w:rPr>
          <w:sz w:val="6"/>
          <w:szCs w:val="6"/>
        </w:rPr>
      </w:pPr>
      <w:r>
        <w:rPr>
          <w:sz w:val="6"/>
          <w:szCs w:val="6"/>
        </w:rPr>
        <w:t> </w:t>
      </w:r>
    </w:p>
    <w:tbl>
      <w:tblPr>
        <w:tblW w:w="5000" w:type="pct"/>
        <w:jc w:val="center"/>
        <w:tblCellMar>
          <w:left w:w="0" w:type="dxa"/>
          <w:right w:w="0" w:type="dxa"/>
        </w:tblCellMar>
        <w:tblLook w:val="04A0" w:firstRow="1" w:lastRow="0" w:firstColumn="1" w:lastColumn="0" w:noHBand="0" w:noVBand="1"/>
      </w:tblPr>
      <w:tblGrid>
        <w:gridCol w:w="4070"/>
        <w:gridCol w:w="332"/>
        <w:gridCol w:w="3904"/>
      </w:tblGrid>
      <w:tr w:rsidR="00000000">
        <w:trPr>
          <w:jc w:val="center"/>
        </w:trPr>
        <w:tc>
          <w:tcPr>
            <w:tcW w:w="245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2350" w:type="pct"/>
            <w:vAlign w:val="center"/>
            <w:hideMark/>
          </w:tcPr>
          <w:p w:rsidR="00000000" w:rsidRDefault="003E5AFF">
            <w:pPr>
              <w:rPr>
                <w:rFonts w:eastAsia="Times New Roman" w:cs="Times New Roman"/>
              </w:rPr>
            </w:pPr>
          </w:p>
        </w:tc>
      </w:tr>
      <w:tr w:rsidR="00000000">
        <w:trPr>
          <w:jc w:val="center"/>
        </w:trPr>
        <w:tc>
          <w:tcPr>
            <w:tcW w:w="0" w:type="auto"/>
            <w:vAlign w:val="bottom"/>
            <w:hideMark/>
          </w:tcPr>
          <w:p w:rsidR="00000000" w:rsidRDefault="003E5AFF">
            <w:pPr>
              <w:pStyle w:val="NormalWeb"/>
              <w:spacing w:before="0" w:beforeAutospacing="0" w:after="0" w:afterAutospacing="0"/>
              <w:jc w:val="center"/>
            </w:pPr>
            <w:r>
              <w:rPr>
                <w:rFonts w:ascii="Arial" w:hAnsi="Arial" w:cs="Arial"/>
                <w:b/>
                <w:bCs/>
                <w:sz w:val="15"/>
                <w:szCs w:val="15"/>
              </w:rPr>
              <w:t>Marcelo A. Mottesi, Esq.</w:t>
            </w:r>
          </w:p>
          <w:p w:rsidR="00000000" w:rsidRDefault="003E5AFF">
            <w:pPr>
              <w:pStyle w:val="NormalWeb"/>
              <w:spacing w:before="0" w:beforeAutospacing="0" w:after="0" w:afterAutospacing="0"/>
              <w:jc w:val="center"/>
            </w:pPr>
            <w:r>
              <w:rPr>
                <w:rFonts w:ascii="Arial" w:hAnsi="Arial" w:cs="Arial"/>
                <w:b/>
                <w:bCs/>
                <w:sz w:val="15"/>
                <w:szCs w:val="15"/>
              </w:rPr>
              <w:t>Milbank, Tweed, Hadley &amp; McCloy LLP</w:t>
            </w:r>
          </w:p>
          <w:p w:rsidR="00000000" w:rsidRDefault="003E5AFF">
            <w:pPr>
              <w:pStyle w:val="NormalWeb"/>
              <w:spacing w:before="0" w:beforeAutospacing="0" w:after="0" w:afterAutospacing="0"/>
              <w:jc w:val="center"/>
            </w:pPr>
            <w:r>
              <w:rPr>
                <w:rFonts w:ascii="Arial" w:hAnsi="Arial" w:cs="Arial"/>
                <w:b/>
                <w:bCs/>
                <w:sz w:val="15"/>
                <w:szCs w:val="15"/>
              </w:rPr>
              <w:t>1 Chase Manhattan Plaza</w:t>
            </w:r>
          </w:p>
          <w:p w:rsidR="00000000" w:rsidRDefault="003E5AFF">
            <w:pPr>
              <w:pStyle w:val="NormalWeb"/>
              <w:spacing w:before="0" w:beforeAutospacing="0" w:after="0" w:afterAutospacing="0"/>
              <w:jc w:val="center"/>
            </w:pPr>
            <w:r>
              <w:rPr>
                <w:rFonts w:ascii="Arial" w:hAnsi="Arial" w:cs="Arial"/>
                <w:b/>
                <w:bCs/>
                <w:sz w:val="15"/>
                <w:szCs w:val="15"/>
              </w:rPr>
              <w:t>New York, New York 10005</w:t>
            </w:r>
          </w:p>
          <w:p w:rsidR="00000000" w:rsidRDefault="003E5AFF">
            <w:pPr>
              <w:pStyle w:val="NormalWeb"/>
              <w:spacing w:before="0" w:beforeAutospacing="0" w:after="15" w:afterAutospacing="0"/>
              <w:jc w:val="center"/>
            </w:pPr>
            <w:r>
              <w:rPr>
                <w:rFonts w:ascii="Arial" w:hAnsi="Arial" w:cs="Arial"/>
                <w:b/>
                <w:bCs/>
                <w:sz w:val="15"/>
                <w:szCs w:val="15"/>
              </w:rPr>
              <w:t>(212) 530-5000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pStyle w:val="NormalWeb"/>
              <w:spacing w:before="0" w:beforeAutospacing="0" w:after="0" w:afterAutospacing="0"/>
              <w:jc w:val="center"/>
            </w:pPr>
            <w:r>
              <w:rPr>
                <w:rFonts w:ascii="Arial" w:hAnsi="Arial" w:cs="Arial"/>
                <w:b/>
                <w:bCs/>
                <w:sz w:val="15"/>
                <w:szCs w:val="15"/>
              </w:rPr>
              <w:t>Stuart K. Fleischmann, Esq.</w:t>
            </w:r>
          </w:p>
          <w:p w:rsidR="00000000" w:rsidRDefault="003E5AFF">
            <w:pPr>
              <w:pStyle w:val="NormalWeb"/>
              <w:spacing w:before="0" w:beforeAutospacing="0" w:after="0" w:afterAutospacing="0"/>
              <w:jc w:val="center"/>
            </w:pPr>
            <w:r>
              <w:rPr>
                <w:rFonts w:ascii="Arial" w:hAnsi="Arial" w:cs="Arial"/>
                <w:b/>
                <w:bCs/>
                <w:sz w:val="15"/>
                <w:szCs w:val="15"/>
              </w:rPr>
              <w:t>Shearman &amp; Sterling LLP</w:t>
            </w:r>
          </w:p>
          <w:p w:rsidR="00000000" w:rsidRDefault="003E5AFF">
            <w:pPr>
              <w:pStyle w:val="NormalWeb"/>
              <w:spacing w:before="0" w:beforeAutospacing="0" w:after="0" w:afterAutospacing="0"/>
              <w:jc w:val="center"/>
            </w:pPr>
            <w:r>
              <w:rPr>
                <w:rFonts w:ascii="Arial" w:hAnsi="Arial" w:cs="Arial"/>
                <w:b/>
                <w:bCs/>
                <w:sz w:val="15"/>
                <w:szCs w:val="15"/>
              </w:rPr>
              <w:t>599 Lexington Avenue</w:t>
            </w:r>
          </w:p>
          <w:p w:rsidR="00000000" w:rsidRDefault="003E5AFF">
            <w:pPr>
              <w:pStyle w:val="NormalWeb"/>
              <w:spacing w:before="0" w:beforeAutospacing="0" w:after="0" w:afterAutospacing="0"/>
              <w:jc w:val="center"/>
            </w:pPr>
            <w:r>
              <w:rPr>
                <w:rFonts w:ascii="Arial" w:hAnsi="Arial" w:cs="Arial"/>
                <w:b/>
                <w:bCs/>
                <w:sz w:val="15"/>
                <w:szCs w:val="15"/>
              </w:rPr>
              <w:t>New York, New York 10022</w:t>
            </w:r>
          </w:p>
          <w:p w:rsidR="00000000" w:rsidRDefault="003E5AFF">
            <w:pPr>
              <w:pStyle w:val="NormalWeb"/>
              <w:spacing w:before="0" w:beforeAutospacing="0" w:after="15" w:afterAutospacing="0"/>
              <w:jc w:val="center"/>
            </w:pPr>
            <w:r>
              <w:rPr>
                <w:rFonts w:ascii="Arial" w:hAnsi="Arial" w:cs="Arial"/>
                <w:b/>
                <w:bCs/>
                <w:sz w:val="15"/>
                <w:szCs w:val="15"/>
              </w:rPr>
              <w:t>(212) 848-7527</w:t>
            </w:r>
          </w:p>
        </w:tc>
      </w:tr>
    </w:tbl>
    <w:p w:rsidR="00000000" w:rsidRDefault="003E5AFF">
      <w:pPr>
        <w:pStyle w:val="NormalWeb"/>
        <w:spacing w:before="60" w:beforeAutospacing="0" w:after="0" w:afterAutospacing="0"/>
        <w:jc w:val="center"/>
      </w:pPr>
      <w:r>
        <w:rPr>
          <w:rFonts w:ascii="Arial" w:hAnsi="Arial" w:cs="Arial"/>
          <w:b/>
          <w:bCs/>
          <w:sz w:val="15"/>
          <w:szCs w:val="15"/>
        </w:rPr>
        <w:t>Approximate date of commencement of proposed sale to the public</w:t>
      </w:r>
      <w:r>
        <w:rPr>
          <w:rFonts w:ascii="Arial" w:hAnsi="Arial" w:cs="Arial"/>
          <w:sz w:val="15"/>
          <w:szCs w:val="15"/>
        </w:rPr>
        <w:t xml:space="preserve">: As soon as practicable after the effective date of this registration statement. </w:t>
      </w:r>
    </w:p>
    <w:p w:rsidR="00000000" w:rsidRDefault="003E5AFF">
      <w:pPr>
        <w:pStyle w:val="NormalWeb"/>
        <w:spacing w:before="60" w:beforeAutospacing="0" w:after="0" w:afterAutospacing="0"/>
        <w:ind w:firstLine="857"/>
      </w:pPr>
      <w:r>
        <w:rPr>
          <w:rFonts w:ascii="Arial" w:hAnsi="Arial" w:cs="Arial"/>
          <w:sz w:val="15"/>
          <w:szCs w:val="15"/>
        </w:rPr>
        <w:t>If any of the securities being registered on this Form are to be offered on a delayed or continuous basis purs</w:t>
      </w:r>
      <w:r>
        <w:rPr>
          <w:rFonts w:ascii="Arial" w:hAnsi="Arial" w:cs="Arial"/>
          <w:sz w:val="15"/>
          <w:szCs w:val="15"/>
        </w:rPr>
        <w:t>uant to Rule 415 under the Securities Act of 1933, check the following box.  </w:t>
      </w:r>
      <w:r>
        <w:rPr>
          <w:rFonts w:ascii="Wingdings" w:hAnsi="Wingdings"/>
          <w:sz w:val="15"/>
          <w:szCs w:val="15"/>
        </w:rPr>
        <w:t></w:t>
      </w:r>
      <w:r>
        <w:rPr>
          <w:rFonts w:ascii="Arial" w:hAnsi="Arial" w:cs="Arial"/>
          <w:sz w:val="15"/>
          <w:szCs w:val="15"/>
        </w:rPr>
        <w:t xml:space="preserve"> </w:t>
      </w:r>
    </w:p>
    <w:p w:rsidR="00000000" w:rsidRDefault="003E5AFF">
      <w:pPr>
        <w:pStyle w:val="NormalWeb"/>
        <w:spacing w:before="60" w:beforeAutospacing="0" w:after="0" w:afterAutospacing="0"/>
        <w:ind w:firstLine="857"/>
      </w:pPr>
      <w:r>
        <w:rPr>
          <w:rFonts w:ascii="Arial" w:hAnsi="Arial" w:cs="Arial"/>
          <w:sz w:val="15"/>
          <w:szCs w:val="15"/>
        </w:rPr>
        <w:t>If this Form is filed to register additional securities for an offering pursuant to Rule 462(b) under the Securities Act, check the following box and list the Securities Act re</w:t>
      </w:r>
      <w:r>
        <w:rPr>
          <w:rFonts w:ascii="Arial" w:hAnsi="Arial" w:cs="Arial"/>
          <w:sz w:val="15"/>
          <w:szCs w:val="15"/>
        </w:rPr>
        <w:t>gistration statement number of the earlier effective registration statement for the same offering.  </w:t>
      </w:r>
      <w:r>
        <w:rPr>
          <w:rFonts w:ascii="Wingdings" w:hAnsi="Wingdings"/>
          <w:sz w:val="15"/>
          <w:szCs w:val="15"/>
        </w:rPr>
        <w:t></w:t>
      </w:r>
      <w:r>
        <w:rPr>
          <w:rFonts w:ascii="Arial" w:hAnsi="Arial" w:cs="Arial"/>
          <w:sz w:val="15"/>
          <w:szCs w:val="15"/>
        </w:rPr>
        <w:t xml:space="preserve"> </w:t>
      </w:r>
    </w:p>
    <w:p w:rsidR="00000000" w:rsidRDefault="003E5AFF">
      <w:pPr>
        <w:pStyle w:val="NormalWeb"/>
        <w:spacing w:before="60" w:beforeAutospacing="0" w:after="0" w:afterAutospacing="0"/>
        <w:ind w:firstLine="857"/>
      </w:pPr>
      <w:r>
        <w:rPr>
          <w:rFonts w:ascii="Arial" w:hAnsi="Arial" w:cs="Arial"/>
          <w:sz w:val="15"/>
          <w:szCs w:val="15"/>
        </w:rPr>
        <w:t>If this Form is a post-effective amendment filed pursuant to Rule 462(c) under the Securities Act, check the following box and list the Securities Act re</w:t>
      </w:r>
      <w:r>
        <w:rPr>
          <w:rFonts w:ascii="Arial" w:hAnsi="Arial" w:cs="Arial"/>
          <w:sz w:val="15"/>
          <w:szCs w:val="15"/>
        </w:rPr>
        <w:t>gistration statement number of the earlier effective registration statement for the same offering.  </w:t>
      </w:r>
      <w:r>
        <w:rPr>
          <w:rFonts w:ascii="Wingdings" w:hAnsi="Wingdings"/>
          <w:sz w:val="15"/>
          <w:szCs w:val="15"/>
        </w:rPr>
        <w:t></w:t>
      </w:r>
      <w:r>
        <w:rPr>
          <w:rFonts w:ascii="Arial" w:hAnsi="Arial" w:cs="Arial"/>
          <w:sz w:val="15"/>
          <w:szCs w:val="15"/>
        </w:rPr>
        <w:t xml:space="preserve"> </w:t>
      </w:r>
    </w:p>
    <w:p w:rsidR="00000000" w:rsidRDefault="003E5AFF">
      <w:pPr>
        <w:pStyle w:val="NormalWeb"/>
        <w:spacing w:before="60" w:beforeAutospacing="0" w:after="0" w:afterAutospacing="0"/>
        <w:ind w:firstLine="857"/>
      </w:pPr>
      <w:r>
        <w:rPr>
          <w:rFonts w:ascii="Arial" w:hAnsi="Arial" w:cs="Arial"/>
          <w:sz w:val="15"/>
          <w:szCs w:val="15"/>
        </w:rPr>
        <w:t>If this Form is a post-effective amendment filed pursuant to Rule 462(d) under the Securities Act, check the following box and list the Securities Act re</w:t>
      </w:r>
      <w:r>
        <w:rPr>
          <w:rFonts w:ascii="Arial" w:hAnsi="Arial" w:cs="Arial"/>
          <w:sz w:val="15"/>
          <w:szCs w:val="15"/>
        </w:rPr>
        <w:t>gistration statement number of the earlier effective registration statement for the same offering.  </w:t>
      </w:r>
      <w:r>
        <w:rPr>
          <w:rFonts w:ascii="Wingdings" w:hAnsi="Wingdings"/>
          <w:sz w:val="15"/>
          <w:szCs w:val="15"/>
        </w:rPr>
        <w:t></w:t>
      </w:r>
      <w:r>
        <w:rPr>
          <w:rFonts w:ascii="Arial" w:hAnsi="Arial" w:cs="Arial"/>
          <w:sz w:val="15"/>
          <w:szCs w:val="15"/>
        </w:rPr>
        <w:t xml:space="preserve"> </w:t>
      </w:r>
    </w:p>
    <w:p w:rsidR="00000000" w:rsidRDefault="003E5AFF">
      <w:pPr>
        <w:pStyle w:val="NormalWeb"/>
        <w:spacing w:before="60" w:beforeAutospacing="0" w:after="0" w:afterAutospacing="0"/>
        <w:jc w:val="center"/>
      </w:pPr>
      <w:r>
        <w:rPr>
          <w:rFonts w:ascii="Arial" w:hAnsi="Arial" w:cs="Arial"/>
          <w:b/>
          <w:bCs/>
          <w:sz w:val="15"/>
          <w:szCs w:val="15"/>
        </w:rPr>
        <w:t xml:space="preserve">CALCULATION OF REGISTRATION FEE </w:t>
      </w:r>
    </w:p>
    <w:p w:rsidR="00000000" w:rsidRDefault="003E5AFF">
      <w:pPr>
        <w:pStyle w:val="NormalWeb"/>
        <w:spacing w:before="0" w:beforeAutospacing="0" w:after="0" w:afterAutospacing="0"/>
        <w:rPr>
          <w:sz w:val="5"/>
          <w:szCs w:val="5"/>
        </w:rPr>
      </w:pPr>
      <w:r>
        <w:rPr>
          <w:sz w:val="5"/>
          <w:szCs w:val="5"/>
        </w:rPr>
        <w:t> </w:t>
      </w:r>
    </w:p>
    <w:tbl>
      <w:tblPr>
        <w:tblW w:w="5000" w:type="pct"/>
        <w:jc w:val="center"/>
        <w:tblCellMar>
          <w:left w:w="0" w:type="dxa"/>
          <w:right w:w="0" w:type="dxa"/>
        </w:tblCellMar>
        <w:tblLook w:val="04A0" w:firstRow="1" w:lastRow="0" w:firstColumn="1" w:lastColumn="0" w:noHBand="0" w:noVBand="1"/>
      </w:tblPr>
      <w:tblGrid>
        <w:gridCol w:w="1541"/>
        <w:gridCol w:w="245"/>
        <w:gridCol w:w="55"/>
        <w:gridCol w:w="1087"/>
        <w:gridCol w:w="244"/>
        <w:gridCol w:w="244"/>
        <w:gridCol w:w="1426"/>
        <w:gridCol w:w="279"/>
        <w:gridCol w:w="1426"/>
        <w:gridCol w:w="316"/>
        <w:gridCol w:w="152"/>
        <w:gridCol w:w="1207"/>
        <w:gridCol w:w="84"/>
      </w:tblGrid>
      <w:tr w:rsidR="00000000">
        <w:trPr>
          <w:jc w:val="center"/>
        </w:trPr>
        <w:tc>
          <w:tcPr>
            <w:tcW w:w="2200" w:type="pct"/>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vAlign w:val="bottom"/>
            <w:hideMark/>
          </w:tcPr>
          <w:p w:rsidR="00000000" w:rsidRDefault="003E5AFF">
            <w:pPr>
              <w:pStyle w:val="NormalWeb"/>
              <w:spacing w:before="0" w:beforeAutospacing="0" w:after="0" w:afterAutospacing="0"/>
            </w:pPr>
            <w:r>
              <w:rPr>
                <w:rFonts w:ascii="Arial" w:hAnsi="Arial" w:cs="Arial"/>
                <w:b/>
                <w:bCs/>
                <w:sz w:val="15"/>
                <w:szCs w:val="15"/>
              </w:rPr>
              <w:t>Title of Each Class of Securities to be</w:t>
            </w:r>
          </w:p>
          <w:p w:rsidR="00000000" w:rsidRDefault="003E5AFF">
            <w:pPr>
              <w:pStyle w:val="NormalWeb"/>
              <w:spacing w:before="0" w:beforeAutospacing="0" w:after="15" w:afterAutospacing="0"/>
            </w:pPr>
            <w:r>
              <w:rPr>
                <w:rFonts w:ascii="Arial" w:hAnsi="Arial" w:cs="Arial"/>
                <w:b/>
                <w:bCs/>
                <w:sz w:val="15"/>
                <w:szCs w:val="15"/>
              </w:rPr>
              <w:t>Registered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pStyle w:val="NormalWeb"/>
              <w:spacing w:before="0" w:beforeAutospacing="0" w:after="0" w:afterAutospacing="0"/>
              <w:jc w:val="right"/>
            </w:pPr>
            <w:r>
              <w:rPr>
                <w:rFonts w:ascii="Arial" w:hAnsi="Arial" w:cs="Arial"/>
                <w:b/>
                <w:bCs/>
                <w:sz w:val="15"/>
                <w:szCs w:val="15"/>
              </w:rPr>
              <w:t>Amount to be</w:t>
            </w:r>
          </w:p>
          <w:p w:rsidR="00000000" w:rsidRDefault="003E5AFF">
            <w:pPr>
              <w:pStyle w:val="NormalWeb"/>
              <w:spacing w:before="0" w:beforeAutospacing="0" w:after="15" w:afterAutospacing="0"/>
              <w:jc w:val="right"/>
            </w:pPr>
            <w:r>
              <w:rPr>
                <w:rFonts w:ascii="Arial" w:hAnsi="Arial" w:cs="Arial"/>
                <w:b/>
                <w:bCs/>
                <w:sz w:val="15"/>
                <w:szCs w:val="15"/>
              </w:rPr>
              <w:t>Registered(1)(3)</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b/>
                <w:bCs/>
                <w:sz w:val="15"/>
                <w:szCs w:val="15"/>
              </w:rPr>
              <w:t>Proposed Maximum</w:t>
            </w:r>
            <w:r>
              <w:rPr>
                <w:rFonts w:ascii="Arial" w:eastAsia="Times New Roman" w:hAnsi="Arial" w:cs="Arial"/>
                <w:b/>
                <w:bCs/>
                <w:sz w:val="15"/>
                <w:szCs w:val="15"/>
              </w:rPr>
              <w:br/>
              <w:t>Offering Price</w:t>
            </w:r>
            <w:r>
              <w:rPr>
                <w:rFonts w:ascii="Arial" w:eastAsia="Times New Roman" w:hAnsi="Arial" w:cs="Arial"/>
                <w:b/>
                <w:bCs/>
                <w:sz w:val="15"/>
                <w:szCs w:val="15"/>
              </w:rPr>
              <w:br/>
              <w:t>Per Unit(2)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b/>
                <w:bCs/>
                <w:sz w:val="15"/>
                <w:szCs w:val="15"/>
              </w:rPr>
              <w:t>Proposed Maximum</w:t>
            </w:r>
            <w:r>
              <w:rPr>
                <w:rFonts w:ascii="Arial" w:eastAsia="Times New Roman" w:hAnsi="Arial" w:cs="Arial"/>
                <w:b/>
                <w:bCs/>
                <w:sz w:val="15"/>
                <w:szCs w:val="15"/>
              </w:rPr>
              <w:br/>
              <w:t>Aggregate Offering</w:t>
            </w:r>
            <w:r>
              <w:rPr>
                <w:rFonts w:ascii="Arial" w:eastAsia="Times New Roman" w:hAnsi="Arial" w:cs="Arial"/>
                <w:b/>
                <w:bCs/>
                <w:sz w:val="15"/>
                <w:szCs w:val="15"/>
              </w:rPr>
              <w:br/>
              <w:t>Price(2)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Amount of</w:t>
            </w:r>
            <w:r>
              <w:rPr>
                <w:rFonts w:ascii="Arial" w:eastAsia="Times New Roman" w:hAnsi="Arial" w:cs="Arial"/>
                <w:b/>
                <w:bCs/>
                <w:sz w:val="15"/>
                <w:szCs w:val="15"/>
              </w:rPr>
              <w:br/>
              <w:t>Registration Fee(4)</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Common shares, no par value (3)</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105,000,000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center"/>
              <w:rPr>
                <w:rFonts w:eastAsia="Times New Roman" w:cs="Times New Roman"/>
              </w:rPr>
            </w:pPr>
            <w:r>
              <w:rPr>
                <w:rFonts w:ascii="Arial" w:eastAsia="Times New Roman" w:hAnsi="Arial" w:cs="Arial"/>
                <w:sz w:val="15"/>
                <w:szCs w:val="15"/>
              </w:rPr>
              <w:t>$5.47</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center"/>
              <w:rPr>
                <w:rFonts w:eastAsia="Times New Roman" w:cs="Times New Roman"/>
              </w:rPr>
            </w:pPr>
            <w:r>
              <w:rPr>
                <w:rFonts w:ascii="Arial" w:eastAsia="Times New Roman" w:hAnsi="Arial" w:cs="Arial"/>
                <w:sz w:val="15"/>
                <w:szCs w:val="15"/>
              </w:rPr>
              <w:t>$573,864,950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65,764.92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bl>
    <w:p w:rsidR="00000000" w:rsidRDefault="003E5AFF">
      <w:pPr>
        <w:pStyle w:val="NormalWeb"/>
        <w:pBdr>
          <w:bottom w:val="single" w:sz="4" w:space="0" w:color="000000"/>
        </w:pBdr>
        <w:spacing w:before="0" w:beforeAutospacing="0" w:after="30" w:afterAutospacing="0" w:line="120" w:lineRule="atLeast"/>
      </w:pPr>
      <w: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common shares represented by American Depositary Shares (_ADSs_) that are initially to be offered in the United States and elsewhere outside the United States; </w:t>
            </w:r>
            <w:r>
              <w:rPr>
                <w:rFonts w:ascii="Arial" w:eastAsia="Times New Roman" w:hAnsi="Arial" w:cs="Arial"/>
                <w:sz w:val="15"/>
                <w:szCs w:val="15"/>
              </w:rPr>
              <w:t>common shares the underwriters have the option to purchase to cover over-allotments, if any; and common shares that are initially to be offered in Chile, which may be resold from time to time in the United States under circumstances requiring delivery of a</w:t>
            </w:r>
            <w:r>
              <w:rPr>
                <w:rFonts w:ascii="Arial" w:eastAsia="Times New Roman" w:hAnsi="Arial" w:cs="Arial"/>
                <w:sz w:val="15"/>
                <w:szCs w:val="15"/>
              </w:rPr>
              <w:t xml:space="preserve"> prospectus.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Estimated solely for the purpose of calculating the registration fee pursuant to Rule 457(c) of the Securities Act of 1933, as amended (the _Securities Act_) based on </w:t>
            </w:r>
            <w:r>
              <w:rPr>
                <w:rFonts w:ascii="Arial" w:eastAsia="Times New Roman" w:hAnsi="Arial" w:cs="Arial"/>
                <w:sz w:val="15"/>
                <w:szCs w:val="15"/>
              </w:rPr>
              <w:t xml:space="preserve">the average of the high and low prices of the Common Stock as reported on </w:t>
            </w:r>
            <w:r>
              <w:rPr>
                <w:rFonts w:ascii="Arial" w:eastAsia="Times New Roman" w:hAnsi="Arial" w:cs="Arial"/>
                <w:sz w:val="15"/>
                <w:szCs w:val="15"/>
              </w:rPr>
              <w:lastRenderedPageBreak/>
              <w:t>the Santiago Stock Exchange on June 7, 2012, a date within five business days of the date of filing of this Registration Statement. The exchange rate on such date was Ch$501.74 = US$</w:t>
            </w:r>
            <w:r>
              <w:rPr>
                <w:rFonts w:ascii="Arial" w:eastAsia="Times New Roman" w:hAnsi="Arial" w:cs="Arial"/>
                <w:sz w:val="15"/>
                <w:szCs w:val="15"/>
              </w:rPr>
              <w:t xml:space="preserve">1.00. </w:t>
            </w:r>
          </w:p>
        </w:tc>
      </w:tr>
    </w:tbl>
    <w:p w:rsidR="00000000" w:rsidRDefault="003E5AFF">
      <w:pPr>
        <w:pStyle w:val="NormalWeb"/>
        <w:spacing w:before="0" w:beforeAutospacing="0" w:after="0" w:afterAutospacing="0"/>
        <w:rPr>
          <w:sz w:val="6"/>
          <w:szCs w:val="6"/>
        </w:rPr>
      </w:pPr>
      <w:r>
        <w:rPr>
          <w:sz w:val="6"/>
          <w:szCs w:val="6"/>
        </w:rPr>
        <w:lastRenderedPageBreak/>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ADSs evidenced by American Depositary Receipts issuable upon deposit of shares registered hereby will be registered under a separate Registration Statement on Form F-6.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Previously paid. </w:t>
            </w:r>
          </w:p>
        </w:tc>
      </w:tr>
    </w:tbl>
    <w:p w:rsidR="00000000" w:rsidRDefault="003E5AFF">
      <w:pPr>
        <w:pStyle w:val="NormalWeb"/>
        <w:spacing w:before="60" w:beforeAutospacing="0" w:after="0" w:afterAutospacing="0"/>
        <w:ind w:firstLine="857"/>
      </w:pPr>
      <w:r>
        <w:rPr>
          <w:rFonts w:ascii="Arial" w:hAnsi="Arial" w:cs="Arial"/>
          <w:b/>
          <w:bCs/>
          <w:sz w:val="15"/>
          <w:szCs w:val="15"/>
        </w:rPr>
        <w:t xml:space="preserve">The Registrant hereby amends </w:t>
      </w:r>
      <w:r>
        <w:rPr>
          <w:rFonts w:ascii="Arial" w:hAnsi="Arial" w:cs="Arial"/>
          <w:b/>
          <w:bCs/>
          <w:sz w:val="15"/>
          <w:szCs w:val="15"/>
        </w:rPr>
        <w:t>this Registration Statement on such date or dates as may be necessary to delay its effective date until the Registrant shall file a further amendment which specifically states that this Registration Statement shall thereafter become effective in accordance</w:t>
      </w:r>
      <w:r>
        <w:rPr>
          <w:rFonts w:ascii="Arial" w:hAnsi="Arial" w:cs="Arial"/>
          <w:b/>
          <w:bCs/>
          <w:sz w:val="15"/>
          <w:szCs w:val="15"/>
        </w:rPr>
        <w:t xml:space="preserve"> with Section 8(a) of the Securities Act of 1933 or until the Registration Statement shall become effective on such date as the Securities and Exchange Commission, acting pursuant to said Section 8(a), may determine. </w:t>
      </w:r>
    </w:p>
    <w:p w:rsidR="00000000" w:rsidRDefault="003E5AFF">
      <w:pPr>
        <w:rPr>
          <w:rFonts w:eastAsia="Times New Roman" w:cs="Times New Roman"/>
        </w:rPr>
      </w:pPr>
      <w:r>
        <w:rPr>
          <w:rFonts w:eastAsia="Times New Roman" w:cs="Times New Roman"/>
        </w:rPr>
        <w:pict>
          <v:rect id="_x0000_i1025" style="width:441.9pt;height:3pt" o:hralign="center" o:hrstd="t" o:hrnoshade="t" o:hr="t" fillcolor="#999" stroked="f"/>
        </w:pict>
      </w:r>
    </w:p>
    <w:p w:rsidR="00000000" w:rsidRDefault="003E5AFF">
      <w:pPr>
        <w:pStyle w:val="Heading5"/>
        <w:rPr>
          <w:rFonts w:eastAsia="Times New Roman" w:cs="Times New Roman"/>
        </w:rPr>
      </w:pPr>
      <w:hyperlink r:id="rId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color w:val="8B3F4E"/>
        </w:rPr>
        <w:t>The information in this prospectus is not complete and may be changed. We may not sell these securities until the registration statement filed with the Securities and Exchange Commission is effective. This p</w:t>
      </w:r>
      <w:r>
        <w:rPr>
          <w:rFonts w:ascii="Arial" w:hAnsi="Arial" w:cs="Arial"/>
          <w:b/>
          <w:bCs/>
          <w:color w:val="8B3F4E"/>
        </w:rPr>
        <w:t xml:space="preserve">rospectus is not an offer to sell these securities, and we are not soliciting an offer to buy these securities in any jurisdiction where the offer or sale is not permitted.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pPr>
      <w:r>
        <w:rPr>
          <w:rFonts w:ascii="Arial" w:hAnsi="Arial" w:cs="Arial"/>
          <w:b/>
          <w:bCs/>
          <w:color w:val="8B3F4E"/>
        </w:rPr>
        <w:t xml:space="preserve">Subject to completion, dated June 8, 2012 </w:t>
      </w:r>
    </w:p>
    <w:p w:rsidR="00000000" w:rsidRDefault="003E5AFF">
      <w:pPr>
        <w:pStyle w:val="NormalWeb"/>
        <w:spacing w:before="60" w:beforeAutospacing="0" w:after="0" w:afterAutospacing="0"/>
      </w:pPr>
      <w:r>
        <w:rPr>
          <w:rFonts w:ascii="Arial" w:hAnsi="Arial" w:cs="Arial"/>
          <w:b/>
          <w:bCs/>
          <w:i/>
          <w:iCs/>
        </w:rPr>
        <w:t>Prospectus</w:t>
      </w:r>
      <w:r>
        <w:rPr>
          <w:rFonts w:ascii="Arial" w:hAnsi="Arial" w:cs="Arial"/>
          <w:b/>
          <w:bCs/>
        </w:rPr>
        <w:t xml:space="preserve"> </w:t>
      </w:r>
    </w:p>
    <w:p w:rsidR="00000000" w:rsidRDefault="003E5AFF">
      <w:pPr>
        <w:pStyle w:val="NormalWeb"/>
        <w:spacing w:before="60" w:beforeAutospacing="0" w:after="0" w:afterAutospacing="0"/>
      </w:pPr>
      <w:r>
        <w:rPr>
          <w:rFonts w:ascii="Arial" w:hAnsi="Arial" w:cs="Arial"/>
          <w:b/>
          <w:bCs/>
          <w:i/>
          <w:iCs/>
          <w:sz w:val="36"/>
          <w:szCs w:val="36"/>
        </w:rPr>
        <w:t xml:space="preserve">91,304,348 shares </w:t>
      </w:r>
    </w:p>
    <w:p w:rsidR="00000000" w:rsidRDefault="003E5AFF">
      <w:pPr>
        <w:pStyle w:val="NormalWeb"/>
        <w:spacing w:before="0" w:beforeAutospacing="0" w:after="0" w:afterAutospacing="0"/>
        <w:rPr>
          <w:sz w:val="6"/>
          <w:szCs w:val="6"/>
        </w:rPr>
      </w:pPr>
      <w:r>
        <w:rPr>
          <w:sz w:val="6"/>
          <w:szCs w:val="6"/>
        </w:rPr>
        <w:t> </w:t>
      </w:r>
    </w:p>
    <w:p w:rsidR="00000000" w:rsidRDefault="003E5AFF">
      <w:pPr>
        <w:pStyle w:val="NormalWeb"/>
        <w:spacing w:before="60" w:beforeAutospacing="0" w:after="0" w:afterAutospacing="0"/>
      </w:pPr>
      <w:r>
        <w:fldChar w:fldCharType="begin" w:fldLock="1"/>
      </w:r>
      <w:r>
        <w:instrText xml:space="preserve"> </w:instrText>
      </w:r>
      <w:r>
        <w:instrText>INCL</w:instrText>
      </w:r>
      <w:r>
        <w:instrText>UDEPICTURE  \d "Macintosh HD:Users:Go:Dropbox:Creatika (1):5 Filings:Filings SEC:./Amendment No. 2 to Form F-1_files/g343004g52u42.jpg" \x \y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GO" style="width:24pt;height:24pt">
            <v:imagedata r:id="rId7"/>
          </v:shape>
        </w:pict>
      </w:r>
      <w:r>
        <w:fldChar w:fldCharType="end"/>
      </w:r>
    </w:p>
    <w:p w:rsidR="00000000" w:rsidRDefault="003E5AFF">
      <w:pPr>
        <w:pStyle w:val="NormalWeb"/>
        <w:spacing w:before="45" w:beforeAutospacing="0" w:after="0" w:afterAutospacing="0"/>
      </w:pPr>
      <w:r>
        <w:rPr>
          <w:rFonts w:ascii="Arial" w:hAnsi="Arial" w:cs="Arial"/>
          <w:b/>
          <w:bCs/>
          <w:i/>
          <w:iCs/>
          <w:sz w:val="36"/>
          <w:szCs w:val="36"/>
        </w:rPr>
        <w:t xml:space="preserve">Common stock in the form of shares or American Depositary Shares </w:t>
      </w:r>
    </w:p>
    <w:p w:rsidR="00000000" w:rsidRDefault="003E5AFF">
      <w:pPr>
        <w:pStyle w:val="NormalWeb"/>
        <w:spacing w:before="45" w:beforeAutospacing="0" w:after="0" w:afterAutospacing="0"/>
      </w:pPr>
      <w:r>
        <w:rPr>
          <w:rFonts w:ascii="Arial" w:hAnsi="Arial" w:cs="Arial"/>
        </w:rPr>
        <w:t>We are offering 91,304,348 shares of common stock in the form of shares or American Depositary Shares (_ADSs_). This prospectus relates to an offering by the international underwriters of              shares in the form of ADSs in the United States and els</w:t>
      </w:r>
      <w:r>
        <w:rPr>
          <w:rFonts w:ascii="Arial" w:hAnsi="Arial" w:cs="Arial"/>
        </w:rPr>
        <w:t xml:space="preserve">ewhere outside Chile. The Chilean placement agents are offering              shares in Chile. Each ADS represents three shares of our common stock. The ADSs initially will be evidenced by American Depositary Receipts (_ADRs_). </w:t>
      </w:r>
    </w:p>
    <w:p w:rsidR="00000000" w:rsidRDefault="003E5AFF">
      <w:pPr>
        <w:pStyle w:val="NormalWeb"/>
        <w:spacing w:before="45" w:beforeAutospacing="0" w:after="0" w:afterAutospacing="0"/>
      </w:pPr>
      <w:r>
        <w:rPr>
          <w:rFonts w:ascii="Arial" w:hAnsi="Arial" w:cs="Arial"/>
        </w:rPr>
        <w:t xml:space="preserve">All of the shares of common </w:t>
      </w:r>
      <w:r>
        <w:rPr>
          <w:rFonts w:ascii="Arial" w:hAnsi="Arial" w:cs="Arial"/>
        </w:rPr>
        <w:t xml:space="preserve">stock will be sold initially through a book auction on the Santiago Stock Exchange in a process known as </w:t>
      </w:r>
      <w:r>
        <w:rPr>
          <w:rFonts w:ascii="Arial" w:hAnsi="Arial" w:cs="Arial"/>
          <w:i/>
          <w:iCs/>
        </w:rPr>
        <w:t>subasta de un libro de _rdenes</w:t>
      </w:r>
      <w:r>
        <w:rPr>
          <w:rFonts w:ascii="Arial" w:hAnsi="Arial" w:cs="Arial"/>
        </w:rPr>
        <w:t xml:space="preserve">, in compliance with Chilean law and the rules of the Santiago Stock Exchange. All orders of shares of common stock made </w:t>
      </w:r>
      <w:r>
        <w:rPr>
          <w:rFonts w:ascii="Arial" w:hAnsi="Arial" w:cs="Arial"/>
        </w:rPr>
        <w:t>by prospective purchasers, including by the international underwriters for purposes of the international offering, must be placed through an authorized Chilean broker under Chilean law. See _Order Book Auction._ The shares of common stock awarded to the in</w:t>
      </w:r>
      <w:r>
        <w:rPr>
          <w:rFonts w:ascii="Arial" w:hAnsi="Arial" w:cs="Arial"/>
        </w:rPr>
        <w:t xml:space="preserve">ternational underwriters in the </w:t>
      </w:r>
      <w:r>
        <w:rPr>
          <w:rFonts w:ascii="Arial" w:hAnsi="Arial" w:cs="Arial"/>
          <w:i/>
          <w:iCs/>
        </w:rPr>
        <w:t>subasta de un libro de _rdenes</w:t>
      </w:r>
      <w:r>
        <w:rPr>
          <w:rFonts w:ascii="Arial" w:hAnsi="Arial" w:cs="Arial"/>
        </w:rPr>
        <w:t xml:space="preserve"> will be eligible for deposit in our ADS facility, subject to the terms of our deposit agreement dated as of              (the _Deposit Agreement_). See _Underwriting._ </w:t>
      </w:r>
    </w:p>
    <w:p w:rsidR="00000000" w:rsidRDefault="003E5AFF">
      <w:pPr>
        <w:pStyle w:val="NormalWeb"/>
        <w:spacing w:before="45" w:beforeAutospacing="0" w:after="0" w:afterAutospacing="0"/>
      </w:pPr>
      <w:r>
        <w:rPr>
          <w:rFonts w:ascii="Arial" w:hAnsi="Arial" w:cs="Arial"/>
        </w:rPr>
        <w:t>We have applied for list</w:t>
      </w:r>
      <w:r>
        <w:rPr>
          <w:rFonts w:ascii="Arial" w:hAnsi="Arial" w:cs="Arial"/>
        </w:rPr>
        <w:t xml:space="preserve">ing of the ADSs on the New York Stock Exchange under the symbol _CNCO_ Our shares are listed on the Santiago Stock Exchange, the </w:t>
      </w:r>
      <w:r>
        <w:rPr>
          <w:rFonts w:ascii="Arial" w:hAnsi="Arial" w:cs="Arial"/>
          <w:i/>
          <w:iCs/>
        </w:rPr>
        <w:t>Bolsa Electronica de Chile</w:t>
      </w:r>
      <w:r>
        <w:rPr>
          <w:rFonts w:ascii="Arial" w:hAnsi="Arial" w:cs="Arial"/>
        </w:rPr>
        <w:t xml:space="preserve"> and the Valparaiso Stock Exchange under the symbol _CENCOSUD._ On June 7, 2012, the last reported sa</w:t>
      </w:r>
      <w:r>
        <w:rPr>
          <w:rFonts w:ascii="Arial" w:hAnsi="Arial" w:cs="Arial"/>
        </w:rPr>
        <w:t xml:space="preserve">le price of the shares on the </w:t>
      </w:r>
      <w:r>
        <w:rPr>
          <w:rFonts w:ascii="Arial" w:hAnsi="Arial" w:cs="Arial"/>
          <w:i/>
          <w:iCs/>
        </w:rPr>
        <w:t>Bolsa Electronica de Chile</w:t>
      </w:r>
      <w:r>
        <w:rPr>
          <w:rFonts w:ascii="Arial" w:hAnsi="Arial" w:cs="Arial"/>
        </w:rPr>
        <w:t xml:space="preserve"> and the Valparaiso Stock Exchange was Ch$2,770 and Ch$2,727 per share, respectively. On June 7, 2012, the last reported sale price of the shares on the Santiago Stock Exchange was Ch$2,774.80 per sha</w:t>
      </w:r>
      <w:r>
        <w:rPr>
          <w:rFonts w:ascii="Arial" w:hAnsi="Arial" w:cs="Arial"/>
        </w:rPr>
        <w:t xml:space="preserve">re, equivalent to US$16.59 per ADS based on an exchange rate of Ch$501.74 = US$1.00. See _Underwriting_ for a discussion of factors considered in determining the price to the public of the ADSs.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918"/>
        <w:gridCol w:w="384"/>
        <w:gridCol w:w="501"/>
        <w:gridCol w:w="667"/>
        <w:gridCol w:w="112"/>
        <w:gridCol w:w="384"/>
        <w:gridCol w:w="501"/>
        <w:gridCol w:w="667"/>
        <w:gridCol w:w="112"/>
        <w:gridCol w:w="384"/>
        <w:gridCol w:w="367"/>
        <w:gridCol w:w="667"/>
        <w:gridCol w:w="112"/>
        <w:gridCol w:w="384"/>
        <w:gridCol w:w="367"/>
        <w:gridCol w:w="667"/>
        <w:gridCol w:w="112"/>
      </w:tblGrid>
      <w:tr w:rsidR="00000000">
        <w:trPr>
          <w:jc w:val="center"/>
        </w:trPr>
        <w:tc>
          <w:tcPr>
            <w:tcW w:w="2500" w:type="pct"/>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Per ADS</w:t>
            </w:r>
          </w:p>
        </w:tc>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ADSs</w:t>
            </w:r>
          </w:p>
        </w:tc>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Per Share</w:t>
            </w:r>
          </w:p>
        </w:tc>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Shares</w:t>
            </w:r>
          </w:p>
        </w:tc>
        <w:tc>
          <w:tcPr>
            <w:tcW w:w="0" w:type="auto"/>
            <w:tcBorders>
              <w:top w:val="single" w:sz="12" w:space="0" w:color="000000"/>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Public offering price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            </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            </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            </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            </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pStyle w:val="NormalWeb"/>
              <w:ind w:left="240" w:hanging="240"/>
            </w:pPr>
            <w:r>
              <w:rPr>
                <w:rFonts w:ascii="Arial" w:hAnsi="Arial" w:cs="Arial"/>
              </w:rPr>
              <w:t>Underwriting discount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U.S.$</w:t>
            </w:r>
          </w:p>
        </w:tc>
        <w:tc>
          <w:tcPr>
            <w:tcW w:w="0" w:type="auto"/>
            <w:hideMark/>
          </w:tcPr>
          <w:p w:rsidR="00000000" w:rsidRDefault="003E5AFF">
            <w:pPr>
              <w:jc w:val="right"/>
              <w:rPr>
                <w:rFonts w:eastAsia="Times New Roman" w:cs="Times New Roman"/>
              </w:rPr>
            </w:pPr>
            <w:r>
              <w:rPr>
                <w:rFonts w:ascii="Arial" w:eastAsia="Times New Roman" w:hAnsi="Arial" w:cs="Arial"/>
              </w:rPr>
              <w:t> </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U.S.$</w:t>
            </w:r>
          </w:p>
        </w:tc>
        <w:tc>
          <w:tcPr>
            <w:tcW w:w="0" w:type="auto"/>
            <w:hideMark/>
          </w:tcPr>
          <w:p w:rsidR="00000000" w:rsidRDefault="003E5AFF">
            <w:pPr>
              <w:jc w:val="right"/>
              <w:rPr>
                <w:rFonts w:eastAsia="Times New Roman" w:cs="Times New Roman"/>
              </w:rPr>
            </w:pPr>
            <w:r>
              <w:rPr>
                <w:rFonts w:ascii="Arial" w:eastAsia="Times New Roman" w:hAnsi="Arial" w:cs="Arial"/>
              </w:rPr>
              <w:t> </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Ch$</w:t>
            </w:r>
          </w:p>
        </w:tc>
        <w:tc>
          <w:tcPr>
            <w:tcW w:w="0" w:type="auto"/>
            <w:hideMark/>
          </w:tcPr>
          <w:p w:rsidR="00000000" w:rsidRDefault="003E5AFF">
            <w:pPr>
              <w:jc w:val="right"/>
              <w:rPr>
                <w:rFonts w:eastAsia="Times New Roman" w:cs="Times New Roman"/>
              </w:rPr>
            </w:pPr>
            <w:r>
              <w:rPr>
                <w:rFonts w:ascii="Arial" w:eastAsia="Times New Roman" w:hAnsi="Arial" w:cs="Arial"/>
              </w:rPr>
              <w:t> </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Ch$</w:t>
            </w:r>
          </w:p>
        </w:tc>
        <w:tc>
          <w:tcPr>
            <w:tcW w:w="0" w:type="auto"/>
            <w:hideMark/>
          </w:tcPr>
          <w:p w:rsidR="00000000" w:rsidRDefault="003E5AFF">
            <w:pPr>
              <w:jc w:val="right"/>
              <w:rPr>
                <w:rFonts w:eastAsia="Times New Roman" w:cs="Times New Roman"/>
              </w:rPr>
            </w:pPr>
            <w:r>
              <w:rPr>
                <w:rFonts w:ascii="Arial" w:eastAsia="Times New Roman" w:hAnsi="Arial" w:cs="Arial"/>
              </w:rPr>
              <w:t> </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Proceeds to us, before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 </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 </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 </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 </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45" w:beforeAutospacing="0" w:after="0" w:afterAutospacing="0"/>
      </w:pPr>
      <w:r>
        <w:rPr>
          <w:rFonts w:ascii="Arial" w:hAnsi="Arial" w:cs="Arial"/>
        </w:rPr>
        <w:t xml:space="preserve">We have also granted the international underwriters an option for a period of 30 days to purchase up to 13,695,652 additional </w:t>
      </w:r>
      <w:r>
        <w:rPr>
          <w:rFonts w:ascii="Arial" w:hAnsi="Arial" w:cs="Arial"/>
        </w:rPr>
        <w:t xml:space="preserve">shares at the public offering price, less the underwriting discount, to cover over-allotments. </w:t>
      </w:r>
    </w:p>
    <w:p w:rsidR="00000000" w:rsidRDefault="003E5AFF">
      <w:pPr>
        <w:pStyle w:val="NormalWeb"/>
        <w:spacing w:before="45" w:beforeAutospacing="0" w:after="0" w:afterAutospacing="0"/>
      </w:pPr>
      <w:r>
        <w:rPr>
          <w:rFonts w:ascii="Arial" w:hAnsi="Arial" w:cs="Arial"/>
        </w:rPr>
        <w:t xml:space="preserve">The global offering is part of a capital increase of 270,000,000 shares of our common stock approved by our shareholders on April 29, 2011, of which 27,000,000 </w:t>
      </w:r>
      <w:r>
        <w:rPr>
          <w:rFonts w:ascii="Arial" w:hAnsi="Arial" w:cs="Arial"/>
        </w:rPr>
        <w:t>shares, or 10% of such capital increase, have been reserved for our employee stock option plan. In connection with the capital increase, we are required by Chilean law to make a preemptive rights offering to our existing shareholders of the remaining 243,0</w:t>
      </w:r>
      <w:r>
        <w:rPr>
          <w:rFonts w:ascii="Arial" w:hAnsi="Arial" w:cs="Arial"/>
        </w:rPr>
        <w:t>00,000 shares of our common stock. In the preemptive rights offering, we will be offering existing holders of shares of our common stock the right to subscribe for newly issued shares of common stock at the price at which shares of common stock, in the for</w:t>
      </w:r>
      <w:r>
        <w:rPr>
          <w:rFonts w:ascii="Arial" w:hAnsi="Arial" w:cs="Arial"/>
        </w:rPr>
        <w:t>m of shares, are being offered in Chile. The Company plans to commence the global offering prior to the commencement of the preemptive rights offering. The preemptive rights offering in Chile will commence on                     , 2012 and must remain open</w:t>
      </w:r>
      <w:r>
        <w:rPr>
          <w:rFonts w:ascii="Arial" w:hAnsi="Arial" w:cs="Arial"/>
        </w:rPr>
        <w:t xml:space="preserve"> for 30 days. Our controlling shareholders have indicated their intention to waive their rights with respect to 105,000,000 shares of common stock subject to such preemptive rights offering and these shares have been made available for the global offering </w:t>
      </w:r>
      <w:r>
        <w:rPr>
          <w:rFonts w:ascii="Arial" w:hAnsi="Arial" w:cs="Arial"/>
        </w:rPr>
        <w:t xml:space="preserve">and the international underwriters_ over-allotment option. See _Preemptive Rights Offering._ </w:t>
      </w:r>
    </w:p>
    <w:p w:rsidR="00000000" w:rsidRDefault="003E5AFF">
      <w:pPr>
        <w:pStyle w:val="NormalWeb"/>
        <w:spacing w:before="45" w:beforeAutospacing="0" w:after="0" w:afterAutospacing="0"/>
      </w:pPr>
      <w:r>
        <w:rPr>
          <w:rFonts w:ascii="Arial" w:hAnsi="Arial" w:cs="Arial"/>
          <w:b/>
          <w:bCs/>
        </w:rPr>
        <w:t>Investing in our common stock involves a high degree of risk. See _</w:t>
      </w:r>
      <w:hyperlink r:id="rId8" w:anchor="rom343004_4" w:history="1">
        <w:r>
          <w:rPr>
            <w:rStyle w:val="Hyperlink"/>
            <w:rFonts w:ascii="Arial" w:hAnsi="Arial" w:cs="Arial"/>
            <w:b/>
            <w:bCs/>
          </w:rPr>
          <w:t>Risk Factors</w:t>
        </w:r>
      </w:hyperlink>
      <w:r>
        <w:rPr>
          <w:rFonts w:ascii="Arial" w:hAnsi="Arial" w:cs="Arial"/>
          <w:b/>
          <w:bCs/>
        </w:rPr>
        <w:t xml:space="preserve">_ beginning on page 27. </w:t>
      </w:r>
    </w:p>
    <w:p w:rsidR="00000000" w:rsidRDefault="003E5AFF">
      <w:pPr>
        <w:pStyle w:val="NormalWeb"/>
        <w:spacing w:before="45" w:beforeAutospacing="0" w:after="0" w:afterAutospacing="0"/>
      </w:pPr>
      <w:r>
        <w:rPr>
          <w:rFonts w:ascii="Arial" w:hAnsi="Arial" w:cs="Arial"/>
        </w:rPr>
        <w:t xml:space="preserve">Neither the Securities and Exchange </w:t>
      </w:r>
      <w:r>
        <w:rPr>
          <w:rFonts w:ascii="Arial" w:hAnsi="Arial" w:cs="Arial"/>
        </w:rPr>
        <w:t xml:space="preserve">Commission nor any state securities commission has approved or disapproved of these securities or passed on the adequacy or accuracy of this prospectus. Any representation to the contrary is a criminal offense. </w:t>
      </w:r>
    </w:p>
    <w:p w:rsidR="00000000" w:rsidRDefault="003E5AFF">
      <w:pPr>
        <w:pStyle w:val="NormalWeb"/>
        <w:spacing w:before="0" w:beforeAutospacing="0" w:after="0" w:afterAutospacing="0"/>
        <w:rPr>
          <w:sz w:val="5"/>
          <w:szCs w:val="5"/>
        </w:rPr>
      </w:pPr>
      <w:r>
        <w:rPr>
          <w:sz w:val="5"/>
          <w:szCs w:val="5"/>
        </w:rPr>
        <w:t> </w:t>
      </w:r>
    </w:p>
    <w:tbl>
      <w:tblPr>
        <w:tblW w:w="5000" w:type="pct"/>
        <w:jc w:val="center"/>
        <w:tblCellMar>
          <w:left w:w="0" w:type="dxa"/>
          <w:right w:w="0" w:type="dxa"/>
        </w:tblCellMar>
        <w:tblLook w:val="04A0" w:firstRow="1" w:lastRow="0" w:firstColumn="1" w:lastColumn="0" w:noHBand="0" w:noVBand="1"/>
      </w:tblPr>
      <w:tblGrid>
        <w:gridCol w:w="4489"/>
        <w:gridCol w:w="75"/>
        <w:gridCol w:w="3742"/>
      </w:tblGrid>
      <w:tr w:rsidR="00000000">
        <w:trPr>
          <w:jc w:val="center"/>
        </w:trPr>
        <w:tc>
          <w:tcPr>
            <w:tcW w:w="30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850" w:type="pct"/>
            <w:vAlign w:val="center"/>
            <w:hideMark/>
          </w:tcPr>
          <w:p w:rsidR="00000000" w:rsidRDefault="003E5AFF">
            <w:pPr>
              <w:rPr>
                <w:rFonts w:eastAsia="Times New Roman" w:cs="Times New Roman"/>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b/>
                <w:bCs/>
                <w:sz w:val="36"/>
                <w:szCs w:val="36"/>
              </w:rPr>
              <w:t>J.P. Morgan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b/>
                <w:bCs/>
                <w:sz w:val="36"/>
                <w:szCs w:val="36"/>
              </w:rPr>
              <w:t>UBS </w:t>
            </w:r>
            <w:r>
              <w:rPr>
                <w:rFonts w:ascii="Arial" w:eastAsia="Times New Roman" w:hAnsi="Arial" w:cs="Arial"/>
                <w:b/>
                <w:bCs/>
                <w:sz w:val="36"/>
                <w:szCs w:val="36"/>
              </w:rPr>
              <w:t>Investment Bank</w:t>
            </w: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b/>
                <w:bCs/>
                <w:sz w:val="36"/>
                <w:szCs w:val="36"/>
              </w:rPr>
              <w:t>Morgan Stanley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b/>
                <w:bCs/>
                <w:sz w:val="36"/>
                <w:szCs w:val="36"/>
              </w:rPr>
              <w:t>Credit Suisse</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2"/>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b/>
                <w:bCs/>
                <w:sz w:val="27"/>
                <w:szCs w:val="27"/>
              </w:rPr>
              <w:t>BBVA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b/>
                <w:bCs/>
                <w:sz w:val="27"/>
                <w:szCs w:val="27"/>
              </w:rPr>
              <w:t>Santander</w:t>
            </w:r>
          </w:p>
        </w:tc>
      </w:tr>
    </w:tbl>
    <w:p w:rsidR="00000000" w:rsidRDefault="003E5AFF">
      <w:pPr>
        <w:pStyle w:val="NormalWeb"/>
        <w:spacing w:before="45" w:beforeAutospacing="0" w:after="0" w:afterAutospacing="0"/>
      </w:pPr>
      <w:r>
        <w:rPr>
          <w:rFonts w:ascii="Arial" w:hAnsi="Arial" w:cs="Arial"/>
        </w:rPr>
        <w:t xml:space="preserve">                    , 2012. </w:t>
      </w:r>
    </w:p>
    <w:p w:rsidR="00000000" w:rsidRDefault="003E5AFF">
      <w:pPr>
        <w:rPr>
          <w:rFonts w:eastAsia="Times New Roman" w:cs="Times New Roman"/>
        </w:rPr>
      </w:pPr>
      <w:r>
        <w:rPr>
          <w:rFonts w:eastAsia="Times New Roman" w:cs="Times New Roman"/>
        </w:rPr>
        <w:pict>
          <v:rect id="_x0000_i1027" style="width:441.9pt;height:3pt" o:hralign="center" o:hrstd="t" o:hrnoshade="t" o:hr="t" fillcolor="#999" stroked="f"/>
        </w:pict>
      </w:r>
    </w:p>
    <w:p w:rsidR="00000000" w:rsidRDefault="003E5AFF">
      <w:pPr>
        <w:pStyle w:val="Heading5"/>
        <w:rPr>
          <w:rFonts w:eastAsia="Times New Roman" w:cs="Times New Roman"/>
        </w:rPr>
      </w:pPr>
      <w:hyperlink r:id="rId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ind w:left="238" w:hanging="245"/>
      </w:pPr>
      <w:r>
        <w:rPr>
          <w:rFonts w:ascii="Arial" w:hAnsi="Arial" w:cs="Arial"/>
        </w:rPr>
        <w:t>We are a leading multi-format and multi-brand retaile</w:t>
      </w:r>
      <w:r>
        <w:rPr>
          <w:rFonts w:ascii="Arial" w:hAnsi="Arial" w:cs="Arial"/>
        </w:rPr>
        <w:t>r</w:t>
      </w:r>
      <w:r>
        <w:rPr>
          <w:rFonts w:ascii="Arial" w:hAnsi="Arial" w:cs="Arial"/>
          <w:sz w:val="15"/>
          <w:szCs w:val="15"/>
          <w:vertAlign w:val="superscript"/>
        </w:rPr>
        <w:t>1</w:t>
      </w:r>
      <w:r>
        <w:rPr>
          <w:rFonts w:ascii="Arial" w:hAnsi="Arial" w:cs="Arial"/>
        </w:rPr>
        <w:t xml:space="preserve">_ </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spacing w:before="120" w:beforeAutospacing="0" w:after="0" w:afterAutospacing="0"/>
        <w:jc w:val="center"/>
      </w:pPr>
      <w:r>
        <w:fldChar w:fldCharType="begin" w:fldLock="1"/>
      </w:r>
      <w:r>
        <w:instrText xml:space="preserve"> </w:instrText>
      </w:r>
      <w:r>
        <w:instrText>INC</w:instrText>
      </w:r>
      <w:r>
        <w:instrText>LUDEPICTURE  \d "Macintosh HD:Users:Go:Dropbox:Creatika (1):5 Filings:Filings SEC:./Amendment No. 2 to Form F-1_files/g343004g76q51.jpg" \x \y \* MERGEFORMATINET</w:instrText>
      </w:r>
      <w:r>
        <w:instrText xml:space="preserve"> </w:instrText>
      </w:r>
      <w:r>
        <w:fldChar w:fldCharType="separate"/>
      </w:r>
      <w:r>
        <w:pict>
          <v:shape id="_x0000_i1028" type="#_x0000_t75" alt="OGO" style="width:24pt;height:24pt">
            <v:imagedata r:id="rId10"/>
          </v:shape>
        </w:pict>
      </w:r>
      <w:r>
        <w:fldChar w:fldCharType="end"/>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sz w:val="15"/>
                <w:szCs w:val="15"/>
                <w:vertAlign w:val="superscript"/>
              </w:rPr>
              <w:t>1</w:t>
            </w:r>
            <w:r>
              <w:rPr>
                <w:rFonts w:ascii="Arial" w:eastAsia="Times New Roman" w:hAnsi="Arial" w:cs="Arial"/>
                <w:sz w:val="15"/>
                <w:szCs w:val="15"/>
              </w:rPr>
              <w:t> </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Based on revenues, selling space, number of stores and gross leasable area in the sectors and countries in which we operate. See _Business_Our Business_ and _Industry Overview and Competition._ </w:t>
            </w:r>
          </w:p>
        </w:tc>
      </w:tr>
    </w:tbl>
    <w:p w:rsidR="00000000" w:rsidRDefault="003E5AFF">
      <w:pPr>
        <w:rPr>
          <w:rFonts w:eastAsia="Times New Roman" w:cs="Times New Roman"/>
        </w:rPr>
      </w:pPr>
      <w:r>
        <w:rPr>
          <w:rFonts w:eastAsia="Times New Roman" w:cs="Times New Roman"/>
        </w:rPr>
        <w:pict>
          <v:rect id="_x0000_i1029" style="width:441.9pt;height:3pt" o:hralign="center" o:hrstd="t" o:hrnoshade="t" o:hr="t" fillcolor="#999" stroked="f"/>
        </w:pict>
      </w:r>
    </w:p>
    <w:p w:rsidR="00000000" w:rsidRDefault="003E5AFF">
      <w:pPr>
        <w:pStyle w:val="Heading5"/>
        <w:rPr>
          <w:rFonts w:eastAsia="Times New Roman" w:cs="Times New Roman"/>
        </w:rPr>
      </w:pPr>
      <w:hyperlink r:id="rId1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right"/>
      </w:pPr>
      <w:r>
        <w:rPr>
          <w:rFonts w:ascii="Arial" w:hAnsi="Arial" w:cs="Arial"/>
        </w:rPr>
        <w:t>_with operations across South America_s largest markets</w:t>
      </w:r>
      <w:r>
        <w:rPr>
          <w:rFonts w:ascii="Arial" w:hAnsi="Arial" w:cs="Arial"/>
        </w:rPr>
        <w:t>.</w:t>
      </w:r>
      <w:r>
        <w:rPr>
          <w:rFonts w:ascii="Arial" w:hAnsi="Arial" w:cs="Arial"/>
          <w:sz w:val="15"/>
          <w:szCs w:val="15"/>
          <w:vertAlign w:val="superscript"/>
        </w:rPr>
        <w:t>2</w:t>
      </w:r>
      <w:r>
        <w:rPr>
          <w:rFonts w:ascii="Arial" w:hAnsi="Arial" w:cs="Arial"/>
        </w:rPr>
        <w:t xml:space="preserve"> </w:t>
      </w:r>
    </w:p>
    <w:p w:rsidR="00000000" w:rsidRDefault="003E5AFF">
      <w:pPr>
        <w:pStyle w:val="NormalWeb"/>
        <w:spacing w:before="0" w:beforeAutospacing="0" w:after="0" w:afterAutospacing="0"/>
        <w:rPr>
          <w:sz w:val="54"/>
          <w:szCs w:val="54"/>
        </w:rPr>
      </w:pPr>
      <w:r>
        <w:rPr>
          <w:sz w:val="54"/>
          <w:szCs w:val="54"/>
        </w:rPr>
        <w:t> </w:t>
      </w:r>
    </w:p>
    <w:p w:rsidR="00000000" w:rsidRDefault="003E5AFF">
      <w:pPr>
        <w:pStyle w:val="NormalWeb"/>
        <w:spacing w:before="540" w:beforeAutospacing="0" w:after="0" w:afterAutospacing="0"/>
        <w:jc w:val="center"/>
      </w:pPr>
      <w:r>
        <w:fldChar w:fldCharType="begin" w:fldLock="1"/>
      </w:r>
      <w:r>
        <w:instrText xml:space="preserve"> </w:instrText>
      </w:r>
      <w:r>
        <w:instrText>INCLUDEPICTURE  \d "Macintosh HD:Users:Go:Dropbox:Creatika (1):5 Filings:Filings SEC:./Amendment No. 2 to Form F-1_files/g343004g18v14.jpg" \x \y \* MERGEFORMATINET</w:instrText>
      </w:r>
      <w:r>
        <w:instrText xml:space="preserve"> </w:instrText>
      </w:r>
      <w:r>
        <w:fldChar w:fldCharType="separate"/>
      </w:r>
      <w:r>
        <w:pict>
          <v:shape id="_x0000_i1030" type="#_x0000_t75" alt="OGO" style="width:24pt;height:24pt">
            <v:imagedata r:id="rId12"/>
          </v:shape>
        </w:pict>
      </w:r>
      <w:r>
        <w:fldChar w:fldCharType="end"/>
      </w:r>
    </w:p>
    <w:p w:rsidR="00000000" w:rsidRDefault="003E5AFF">
      <w:pPr>
        <w:pStyle w:val="NormalWeb"/>
        <w:spacing w:before="240" w:beforeAutospacing="0" w:after="0" w:afterAutospacing="0"/>
      </w:pPr>
      <w:r>
        <w:rPr>
          <w:rFonts w:ascii="Arial" w:hAnsi="Arial" w:cs="Arial"/>
        </w:rPr>
        <w:t xml:space="preserve">NOTE: The summary information noted above makes reference to our operations in each of our markets, as of March 31, </w:t>
      </w:r>
      <w:r>
        <w:rPr>
          <w:rFonts w:ascii="Arial" w:hAnsi="Arial" w:cs="Arial"/>
        </w:rPr>
        <w:t xml:space="preserve">2012. See _Summary Financial and Other Information._ </w:t>
      </w:r>
    </w:p>
    <w:p w:rsidR="00000000" w:rsidRDefault="003E5AFF">
      <w:pPr>
        <w:pStyle w:val="NormalWeb"/>
        <w:pBdr>
          <w:bottom w:val="single" w:sz="4" w:space="0" w:color="000000"/>
        </w:pBdr>
        <w:spacing w:before="0" w:beforeAutospacing="0" w:after="30" w:afterAutospacing="0" w:line="120" w:lineRule="atLeast"/>
      </w:pPr>
      <w:r>
        <w:t> </w:t>
      </w:r>
    </w:p>
    <w:tbl>
      <w:tblPr>
        <w:tblW w:w="5000" w:type="pct"/>
        <w:tblCellMar>
          <w:left w:w="0" w:type="dxa"/>
          <w:right w:w="0" w:type="dxa"/>
        </w:tblCellMar>
        <w:tblLook w:val="04A0" w:firstRow="1" w:lastRow="0" w:firstColumn="1" w:lastColumn="0" w:noHBand="0" w:noVBand="1"/>
      </w:tblPr>
      <w:tblGrid>
        <w:gridCol w:w="166"/>
        <w:gridCol w:w="83"/>
        <w:gridCol w:w="8057"/>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vertAlign w:val="superscript"/>
              </w:rPr>
              <w:t>2</w:t>
            </w:r>
            <w:r>
              <w:rPr>
                <w:rFonts w:ascii="Arial" w:eastAsia="Times New Roman" w:hAnsi="Arial" w:cs="Arial"/>
                <w:sz w:val="15"/>
                <w:szCs w:val="15"/>
              </w:rPr>
              <w:t> </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 measured by population and Gross Domestic Product.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i - </w:t>
      </w:r>
    </w:p>
    <w:p w:rsidR="00000000" w:rsidRDefault="003E5AFF">
      <w:pPr>
        <w:rPr>
          <w:rFonts w:eastAsia="Times New Roman" w:cs="Times New Roman"/>
        </w:rPr>
      </w:pPr>
      <w:r>
        <w:rPr>
          <w:rFonts w:eastAsia="Times New Roman" w:cs="Times New Roman"/>
        </w:rPr>
        <w:pict>
          <v:rect id="_x0000_i1031" style="width:441.9pt;height:3pt" o:hralign="center" o:hrstd="t" o:hrnoshade="t" o:hr="t" fillcolor="#999" stroked="f"/>
        </w:pict>
      </w:r>
    </w:p>
    <w:p w:rsidR="00000000" w:rsidRDefault="003E5AFF">
      <w:pPr>
        <w:pStyle w:val="Heading5"/>
        <w:rPr>
          <w:rFonts w:eastAsia="Times New Roman" w:cs="Times New Roman"/>
        </w:rPr>
      </w:pPr>
      <w:hyperlink r:id="rId1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 w:name="toc"/>
      <w:bookmarkEnd w:id="1"/>
      <w:r>
        <w:rPr>
          <w:rFonts w:ascii="Arial" w:hAnsi="Arial" w:cs="Arial"/>
          <w:b/>
          <w:bCs/>
          <w:sz w:val="36"/>
          <w:szCs w:val="36"/>
        </w:rPr>
        <w:t xml:space="preserve">Table of contents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7563"/>
        <w:gridCol w:w="241"/>
        <w:gridCol w:w="56"/>
        <w:gridCol w:w="334"/>
        <w:gridCol w:w="112"/>
      </w:tblGrid>
      <w:tr w:rsidR="00000000">
        <w:trPr>
          <w:jc w:val="center"/>
        </w:trPr>
        <w:tc>
          <w:tcPr>
            <w:tcW w:w="47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Page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hideMark/>
          </w:tcPr>
          <w:p w:rsidR="00000000" w:rsidRDefault="003E5AFF">
            <w:pPr>
              <w:pStyle w:val="NormalWeb"/>
              <w:ind w:left="240" w:hanging="240"/>
            </w:pPr>
            <w:hyperlink r:id="rId14" w:anchor="rom343004_1" w:history="1">
              <w:r>
                <w:rPr>
                  <w:rStyle w:val="Hyperlink"/>
                  <w:rFonts w:ascii="Arial" w:hAnsi="Arial" w:cs="Arial"/>
                </w:rPr>
                <w:t>Summary</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15" w:anchor="rom343004_2" w:history="1">
              <w:r>
                <w:rPr>
                  <w:rStyle w:val="Hyperlink"/>
                  <w:rFonts w:ascii="Arial" w:hAnsi="Arial" w:cs="Arial"/>
                </w:rPr>
                <w:t>The offering</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12</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16" w:anchor="rom343004_3" w:history="1">
              <w:r>
                <w:rPr>
                  <w:rStyle w:val="Hyperlink"/>
                  <w:rFonts w:ascii="Arial" w:hAnsi="Arial" w:cs="Arial"/>
                </w:rPr>
                <w:t>Summary financial and other information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18</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17" w:anchor="rom343004_4" w:history="1">
              <w:r>
                <w:rPr>
                  <w:rStyle w:val="Hyperlink"/>
                  <w:rFonts w:ascii="Arial" w:hAnsi="Arial" w:cs="Arial"/>
                </w:rPr>
                <w:t>Risk factors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27</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18" w:anchor="rom343004_5" w:history="1">
              <w:r>
                <w:rPr>
                  <w:rStyle w:val="Hyperlink"/>
                  <w:rFonts w:ascii="Arial" w:hAnsi="Arial" w:cs="Arial"/>
                </w:rPr>
                <w:t>Presentation of financial and other information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59</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19" w:anchor="rom343004_6" w:history="1">
              <w:r>
                <w:rPr>
                  <w:rStyle w:val="Hyperlink"/>
                  <w:rFonts w:ascii="Arial" w:hAnsi="Arial" w:cs="Arial"/>
                </w:rPr>
                <w:t>Forward-looking statements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70</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0" w:anchor="rom343004_7" w:history="1">
              <w:r>
                <w:rPr>
                  <w:rStyle w:val="Hyperlink"/>
                  <w:rFonts w:ascii="Arial" w:hAnsi="Arial" w:cs="Arial"/>
                </w:rPr>
                <w:t>Use of proceeds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71</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1" w:anchor="rom343004_8" w:history="1">
              <w:r>
                <w:rPr>
                  <w:rStyle w:val="Hyperlink"/>
                  <w:rFonts w:ascii="Arial" w:hAnsi="Arial" w:cs="Arial"/>
                </w:rPr>
                <w:t>Market information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73</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2" w:anchor="rom343004_9" w:history="1">
              <w:r>
                <w:rPr>
                  <w:rStyle w:val="Hyperlink"/>
                  <w:rFonts w:ascii="Arial" w:hAnsi="Arial" w:cs="Arial"/>
                </w:rPr>
                <w:t>Dividend policy</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76</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3" w:anchor="rom343004_10" w:history="1">
              <w:r>
                <w:rPr>
                  <w:rStyle w:val="Hyperlink"/>
                  <w:rFonts w:ascii="Arial" w:hAnsi="Arial" w:cs="Arial"/>
                </w:rPr>
                <w:t>Capitalization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77</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4" w:anchor="rom343004_11" w:history="1">
              <w:r>
                <w:rPr>
                  <w:rStyle w:val="Hyperlink"/>
                  <w:rFonts w:ascii="Arial" w:hAnsi="Arial" w:cs="Arial"/>
                </w:rPr>
                <w:t>Dilution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79</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5" w:anchor="rom343004_12" w:history="1">
              <w:r>
                <w:rPr>
                  <w:rStyle w:val="Hyperlink"/>
                  <w:rFonts w:ascii="Arial" w:hAnsi="Arial" w:cs="Arial"/>
                </w:rPr>
                <w:t>Preemptive rights offering</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81</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6" w:anchor="rom343004_13" w:history="1">
              <w:r>
                <w:rPr>
                  <w:rStyle w:val="Hyperlink"/>
                  <w:rFonts w:ascii="Arial" w:hAnsi="Arial" w:cs="Arial"/>
                </w:rPr>
                <w:t>Order book auction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83</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7" w:anchor="rom343004_14" w:history="1">
              <w:r>
                <w:rPr>
                  <w:rStyle w:val="Hyperlink"/>
                  <w:rFonts w:ascii="Arial" w:hAnsi="Arial" w:cs="Arial"/>
                </w:rPr>
                <w:t>Exchange rates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84</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8" w:anchor="rom343004_15" w:history="1">
              <w:r>
                <w:rPr>
                  <w:rStyle w:val="Hyperlink"/>
                  <w:rFonts w:ascii="Arial" w:hAnsi="Arial" w:cs="Arial"/>
                </w:rPr>
                <w:t>Exchange controls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89</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29" w:anchor="rom343004_16" w:history="1">
              <w:r>
                <w:rPr>
                  <w:rStyle w:val="Hyperlink"/>
                  <w:rFonts w:ascii="Arial" w:hAnsi="Arial" w:cs="Arial"/>
                </w:rPr>
                <w:t>Selected consolidated financial data and other information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97</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0" w:anchor="rom343004_17" w:history="1">
              <w:r>
                <w:rPr>
                  <w:rStyle w:val="Hyperlink"/>
                  <w:rFonts w:ascii="Arial" w:hAnsi="Arial" w:cs="Arial"/>
                </w:rPr>
                <w:t>Management_s discussion and analysis of financial condition and results of operations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105</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1" w:anchor="rom343004_18" w:history="1">
              <w:r>
                <w:rPr>
                  <w:rStyle w:val="Hyperlink"/>
                  <w:rFonts w:ascii="Arial" w:hAnsi="Arial" w:cs="Arial"/>
                </w:rPr>
                <w:t>Industry overview and competition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155</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2" w:anchor="rom343004_19" w:history="1">
              <w:r>
                <w:rPr>
                  <w:rStyle w:val="Hyperlink"/>
                  <w:rFonts w:ascii="Arial" w:hAnsi="Arial" w:cs="Arial"/>
                </w:rPr>
                <w:t>Business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166</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3" w:anchor="rom343004_20" w:history="1">
              <w:r>
                <w:rPr>
                  <w:rStyle w:val="Hyperlink"/>
                  <w:rFonts w:ascii="Arial" w:hAnsi="Arial" w:cs="Arial"/>
                </w:rPr>
                <w:t>Regulatory and environmental overview</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225</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4" w:anchor="rom343004_21" w:history="1">
              <w:r>
                <w:rPr>
                  <w:rStyle w:val="Hyperlink"/>
                  <w:rFonts w:ascii="Arial" w:hAnsi="Arial" w:cs="Arial"/>
                </w:rPr>
                <w:t>Management</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229</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5" w:anchor="rom343004_22" w:history="1">
              <w:r>
                <w:rPr>
                  <w:rStyle w:val="Hyperlink"/>
                  <w:rFonts w:ascii="Arial" w:hAnsi="Arial" w:cs="Arial"/>
                </w:rPr>
                <w:t>Principal shareholders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236</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6" w:anchor="rom343004_23" w:history="1">
              <w:r>
                <w:rPr>
                  <w:rStyle w:val="Hyperlink"/>
                  <w:rFonts w:ascii="Arial" w:hAnsi="Arial" w:cs="Arial"/>
                </w:rPr>
                <w:t>Related party transactions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238</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7" w:anchor="rom343004_24" w:history="1">
              <w:r>
                <w:rPr>
                  <w:rStyle w:val="Hyperlink"/>
                  <w:rFonts w:ascii="Arial" w:hAnsi="Arial" w:cs="Arial"/>
                </w:rPr>
                <w:t>Description of share capital</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240</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8" w:anchor="rom343004_25" w:history="1">
              <w:r>
                <w:rPr>
                  <w:rStyle w:val="Hyperlink"/>
                  <w:rFonts w:ascii="Arial" w:hAnsi="Arial" w:cs="Arial"/>
                </w:rPr>
                <w:t>Description of American depositary receipts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248</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39" w:anchor="rom343004_26" w:history="1">
              <w:r>
                <w:rPr>
                  <w:rStyle w:val="Hyperlink"/>
                  <w:rFonts w:ascii="Arial" w:hAnsi="Arial" w:cs="Arial"/>
                </w:rPr>
                <w:t>Common shares eligible for future sale</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259</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0" w:anchor="rom343004_27" w:history="1">
              <w:r>
                <w:rPr>
                  <w:rStyle w:val="Hyperlink"/>
                  <w:rFonts w:ascii="Arial" w:hAnsi="Arial" w:cs="Arial"/>
                </w:rPr>
                <w:t>Taxation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260</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1" w:anchor="rom343004_28" w:history="1">
              <w:r>
                <w:rPr>
                  <w:rStyle w:val="Hyperlink"/>
                  <w:rFonts w:ascii="Arial" w:hAnsi="Arial" w:cs="Arial"/>
                </w:rPr>
                <w:t>Certain ERISA considerations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269</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2" w:anchor="rom343004_29" w:history="1">
              <w:r>
                <w:rPr>
                  <w:rStyle w:val="Hyperlink"/>
                  <w:rFonts w:ascii="Arial" w:hAnsi="Arial" w:cs="Arial"/>
                </w:rPr>
                <w:t>Underwriting (Conflicts of Interest)</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270</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3" w:anchor="rom343004_30" w:history="1">
              <w:r>
                <w:rPr>
                  <w:rStyle w:val="Hyperlink"/>
                  <w:rFonts w:ascii="Arial" w:hAnsi="Arial" w:cs="Arial"/>
                </w:rPr>
                <w:t>Service of process and enforcement of civil liabilities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285</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4" w:anchor="rom343004_31" w:history="1">
              <w:r>
                <w:rPr>
                  <w:rStyle w:val="Hyperlink"/>
                  <w:rFonts w:ascii="Arial" w:hAnsi="Arial" w:cs="Arial"/>
                </w:rPr>
                <w:t>Legal matters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286</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5" w:anchor="rom343004_32" w:history="1">
              <w:r>
                <w:rPr>
                  <w:rStyle w:val="Hyperlink"/>
                  <w:rFonts w:ascii="Arial" w:hAnsi="Arial" w:cs="Arial"/>
                </w:rPr>
                <w:t>Experts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286</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6" w:anchor="rom343004_33" w:history="1">
              <w:r>
                <w:rPr>
                  <w:rStyle w:val="Hyperlink"/>
                  <w:rFonts w:ascii="Arial" w:hAnsi="Arial" w:cs="Arial"/>
                </w:rPr>
                <w:t>Expenses related to this offering</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287</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7" w:anchor="rom343004_34" w:history="1">
              <w:r>
                <w:rPr>
                  <w:rStyle w:val="Hyperlink"/>
                  <w:rFonts w:ascii="Arial" w:hAnsi="Arial" w:cs="Arial"/>
                </w:rPr>
                <w:t>Where you can find more information</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288</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hyperlink r:id="rId48" w:anchor="rom343004_35" w:history="1">
              <w:r>
                <w:rPr>
                  <w:rStyle w:val="Hyperlink"/>
                  <w:rFonts w:ascii="Arial" w:hAnsi="Arial" w:cs="Arial"/>
                </w:rPr>
                <w:t>Index to the financial statements</w:t>
              </w:r>
            </w:hyperlink>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F-1</w:t>
            </w:r>
          </w:p>
        </w:tc>
        <w:tc>
          <w:tcPr>
            <w:tcW w:w="0" w:type="auto"/>
            <w:noWrap/>
            <w:hideMark/>
          </w:tcPr>
          <w:p w:rsidR="00000000" w:rsidRDefault="003E5AFF">
            <w:pPr>
              <w:rPr>
                <w:rFonts w:eastAsia="Times New Roman" w:cs="Times New Roman"/>
              </w:rPr>
            </w:pPr>
            <w:r>
              <w:rPr>
                <w:rFonts w:ascii="Arial" w:eastAsia="Times New Roman" w:hAnsi="Arial" w:cs="Arial"/>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ii - </w:t>
      </w:r>
    </w:p>
    <w:p w:rsidR="00000000" w:rsidRDefault="003E5AFF">
      <w:pPr>
        <w:rPr>
          <w:rFonts w:eastAsia="Times New Roman" w:cs="Times New Roman"/>
        </w:rPr>
      </w:pPr>
      <w:r>
        <w:rPr>
          <w:rFonts w:eastAsia="Times New Roman" w:cs="Times New Roman"/>
        </w:rPr>
        <w:pict>
          <v:rect id="_x0000_i1032" style="width:441.9pt;height:3pt" o:hralign="center" o:hrstd="t" o:hrnoshade="t" o:hr="t" fillcolor="#999" stroked="f"/>
        </w:pict>
      </w:r>
    </w:p>
    <w:p w:rsidR="00000000" w:rsidRDefault="003E5AFF">
      <w:pPr>
        <w:pStyle w:val="Heading5"/>
        <w:rPr>
          <w:rFonts w:eastAsia="Times New Roman" w:cs="Times New Roman"/>
        </w:rPr>
      </w:pPr>
      <w:hyperlink r:id="rId49"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b/>
          <w:bCs/>
        </w:rPr>
        <w:t xml:space="preserve">We have not authorized anyone to provide any information other than that contained or incorporated by reference in </w:t>
      </w:r>
      <w:r>
        <w:rPr>
          <w:rFonts w:ascii="Arial" w:hAnsi="Arial" w:cs="Arial"/>
          <w:b/>
          <w:bCs/>
        </w:rPr>
        <w:t>this prospectus or in any free writing prospectus prepared by or on behalf of us or to which we have referred you. We take no responsibility for, and can provide no assurance as to the reliability of, any other information that others may give you. This do</w:t>
      </w:r>
      <w:r>
        <w:rPr>
          <w:rFonts w:ascii="Arial" w:hAnsi="Arial" w:cs="Arial"/>
          <w:b/>
          <w:bCs/>
        </w:rPr>
        <w:t>cument may only be used where it is legal to sell these securities. The information in this document may only be accurate on the date of this document. Our business, financial condition, results of operations and prospects may have changed since that date.</w:t>
      </w:r>
      <w:r>
        <w:rPr>
          <w:rFonts w:ascii="Arial" w:hAnsi="Arial" w:cs="Arial"/>
          <w:b/>
          <w:bCs/>
        </w:rPr>
        <w:t xml:space="preserve"> </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pBdr>
          <w:bottom w:val="single" w:sz="8" w:space="0" w:color="000000"/>
        </w:pBdr>
        <w:spacing w:before="0" w:beforeAutospacing="0" w:after="30" w:afterAutospacing="0" w:line="90" w:lineRule="atLeast"/>
        <w:jc w:val="center"/>
      </w:pPr>
      <w:r>
        <w:t> </w:t>
      </w:r>
    </w:p>
    <w:p w:rsidR="00000000" w:rsidRDefault="003E5AFF">
      <w:pPr>
        <w:pStyle w:val="NormalWeb"/>
        <w:spacing w:before="120" w:beforeAutospacing="0" w:after="0" w:afterAutospacing="0"/>
      </w:pPr>
      <w:r>
        <w:rPr>
          <w:rFonts w:ascii="Arial" w:hAnsi="Arial" w:cs="Arial"/>
          <w:b/>
          <w:bCs/>
        </w:rPr>
        <w:t>This prospectus has been prepared on the basis that all offers of ADSs will be made pursuant to an exemption under the Prospectus Directive, as implemented in member states (each, a _Relevant Member State_) of the European Economic Area, or EEA, from</w:t>
      </w:r>
      <w:r>
        <w:rPr>
          <w:rFonts w:ascii="Arial" w:hAnsi="Arial" w:cs="Arial"/>
          <w:b/>
          <w:bCs/>
        </w:rPr>
        <w:t xml:space="preserve"> the requirement to produce a prospectus for offers of the ADSs. Accordingly, any person making or intending to make any offer within the EEA of ADSs which are the subject of the offering contemplated in this prospectus should only do so in circumstances i</w:t>
      </w:r>
      <w:r>
        <w:rPr>
          <w:rFonts w:ascii="Arial" w:hAnsi="Arial" w:cs="Arial"/>
          <w:b/>
          <w:bCs/>
        </w:rPr>
        <w:t>n which no obligation arises for the sellers of the ADSs or any of the underwriters to produce a prospectus for such offer. Neither the sellers of the ADSs nor the underwriters have authorized, nor do they authorize, the making of any offer of ADSs in circ</w:t>
      </w:r>
      <w:r>
        <w:rPr>
          <w:rFonts w:ascii="Arial" w:hAnsi="Arial" w:cs="Arial"/>
          <w:b/>
          <w:bCs/>
        </w:rPr>
        <w:t>umstances in which an obligation arises for the sellers of the ADSs or the underwriters to publish a prospectus for such offer. _Prospectus Directive_ means Directive 2003/71/EC (and amendments thereto, including the 2010 PD Amending Directive, to the exte</w:t>
      </w:r>
      <w:r>
        <w:rPr>
          <w:rFonts w:ascii="Arial" w:hAnsi="Arial" w:cs="Arial"/>
          <w:b/>
          <w:bCs/>
        </w:rPr>
        <w:t xml:space="preserve">nt implemented in the Relevant Member State), and includes any relevant implementing measure in the Relevant Member State, and the expression _2010 PD Amending Directive_ means Directive 2010/73/EU. </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pBdr>
          <w:bottom w:val="single" w:sz="8" w:space="0" w:color="000000"/>
        </w:pBdr>
        <w:spacing w:before="0" w:beforeAutospacing="0" w:after="30" w:afterAutospacing="0" w:line="90" w:lineRule="atLeast"/>
        <w:jc w:val="center"/>
      </w:pPr>
      <w:r>
        <w:t> </w:t>
      </w:r>
    </w:p>
    <w:p w:rsidR="00000000" w:rsidRDefault="003E5AFF">
      <w:pPr>
        <w:pStyle w:val="NormalWeb"/>
        <w:spacing w:before="120" w:beforeAutospacing="0" w:after="0" w:afterAutospacing="0"/>
      </w:pPr>
      <w:r>
        <w:rPr>
          <w:rFonts w:ascii="Arial" w:hAnsi="Arial" w:cs="Arial"/>
          <w:b/>
          <w:bCs/>
        </w:rPr>
        <w:t>The distribution of this prospectus and the offering</w:t>
      </w:r>
      <w:r>
        <w:rPr>
          <w:rFonts w:ascii="Arial" w:hAnsi="Arial" w:cs="Arial"/>
          <w:b/>
          <w:bCs/>
        </w:rPr>
        <w:t xml:space="preserve"> and sale of the ADSs in certain jurisdictions may be restricted by law. We and the international underwriters require persons into whose possession this prospectus comes to inform themselves about and to observe any such restrictions. This prospectus does</w:t>
      </w:r>
      <w:r>
        <w:rPr>
          <w:rFonts w:ascii="Arial" w:hAnsi="Arial" w:cs="Arial"/>
          <w:b/>
          <w:bCs/>
        </w:rPr>
        <w:t xml:space="preserve"> not constitute an offer of, or an invitation to purchase, any of the ADSs in any jurisdiction in which such offer or invitation would be unlawful.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iii - </w:t>
      </w:r>
    </w:p>
    <w:p w:rsidR="00000000" w:rsidRDefault="003E5AFF">
      <w:pPr>
        <w:rPr>
          <w:rFonts w:eastAsia="Times New Roman" w:cs="Times New Roman"/>
        </w:rPr>
      </w:pPr>
      <w:r>
        <w:rPr>
          <w:rFonts w:eastAsia="Times New Roman" w:cs="Times New Roman"/>
        </w:rPr>
        <w:pict>
          <v:rect id="_x0000_i1033" style="width:441.9pt;height:3pt" o:hralign="center" o:hrstd="t" o:hrnoshade="t" o:hr="t" fillcolor="#999" stroked="f"/>
        </w:pict>
      </w:r>
    </w:p>
    <w:p w:rsidR="00000000" w:rsidRDefault="003E5AFF">
      <w:pPr>
        <w:pStyle w:val="Heading5"/>
        <w:rPr>
          <w:rFonts w:eastAsia="Times New Roman" w:cs="Times New Roman"/>
        </w:rPr>
      </w:pPr>
      <w:hyperlink r:id="rId5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divId w:val="2103380808"/>
      </w:pPr>
      <w:bookmarkStart w:id="2" w:name="rom343004_1"/>
      <w:bookmarkEnd w:id="2"/>
      <w:r>
        <w:rPr>
          <w:rFonts w:ascii="Arial" w:hAnsi="Arial" w:cs="Arial"/>
          <w:b/>
          <w:bCs/>
          <w:sz w:val="36"/>
          <w:szCs w:val="36"/>
        </w:rPr>
        <w:t xml:space="preserve">Summary </w:t>
      </w:r>
    </w:p>
    <w:p w:rsidR="00000000" w:rsidRDefault="003E5AFF">
      <w:pPr>
        <w:pStyle w:val="NormalWeb"/>
        <w:spacing w:before="120" w:beforeAutospacing="0" w:after="0" w:afterAutospacing="0"/>
        <w:divId w:val="2103380808"/>
      </w:pPr>
      <w:r>
        <w:rPr>
          <w:rFonts w:ascii="Arial" w:hAnsi="Arial" w:cs="Arial"/>
          <w:i/>
          <w:iCs/>
        </w:rPr>
        <w:t>This summary highlights selected information about us and the ADSs that we are offering. Before investing in the ADSs, you sho</w:t>
      </w:r>
      <w:r>
        <w:rPr>
          <w:rFonts w:ascii="Arial" w:hAnsi="Arial" w:cs="Arial"/>
          <w:i/>
          <w:iCs/>
        </w:rPr>
        <w:t>uld read this entire prospectus carefully for a more complete understanding of our business and this offering, including our Audited Consolidated Financial Statements and the related notes the Unaudited Interim Consolidated Financial Statements, and the se</w:t>
      </w:r>
      <w:r>
        <w:rPr>
          <w:rFonts w:ascii="Arial" w:hAnsi="Arial" w:cs="Arial"/>
          <w:i/>
          <w:iCs/>
        </w:rPr>
        <w:t xml:space="preserve">ctions entitled _Risk Factors_ and _Management_s Discussion and Analysis of Financial Condition and Results of Operations,_ included elsewhere in this prospectus. </w:t>
      </w:r>
    </w:p>
    <w:p w:rsidR="00000000" w:rsidRDefault="003E5AFF">
      <w:pPr>
        <w:pStyle w:val="NormalWeb"/>
        <w:spacing w:before="240" w:beforeAutospacing="0" w:after="0" w:afterAutospacing="0"/>
        <w:divId w:val="2103380808"/>
      </w:pPr>
      <w:r>
        <w:rPr>
          <w:rFonts w:ascii="Arial" w:hAnsi="Arial" w:cs="Arial"/>
          <w:b/>
          <w:bCs/>
          <w:sz w:val="24"/>
          <w:szCs w:val="24"/>
        </w:rPr>
        <w:t xml:space="preserve">Our business </w:t>
      </w:r>
    </w:p>
    <w:p w:rsidR="00000000" w:rsidRDefault="003E5AFF">
      <w:pPr>
        <w:pStyle w:val="NormalWeb"/>
        <w:spacing w:before="120" w:beforeAutospacing="0" w:after="0" w:afterAutospacing="0"/>
        <w:divId w:val="2103380808"/>
      </w:pPr>
      <w:r>
        <w:rPr>
          <w:rFonts w:ascii="Arial" w:hAnsi="Arial" w:cs="Arial"/>
        </w:rPr>
        <w:t>We believe we are a leading multi-brand retailer in South America, based on re</w:t>
      </w:r>
      <w:r>
        <w:rPr>
          <w:rFonts w:ascii="Arial" w:hAnsi="Arial" w:cs="Arial"/>
        </w:rPr>
        <w:t>venues, selling space, number of stores and gross leasable area in the sectors and countries in which we operate. See _Business_Our Business_ and _Industry Overview and Competition_ for more explanation on the methodology we use to calculate our market pos</w:t>
      </w:r>
      <w:r>
        <w:rPr>
          <w:rFonts w:ascii="Arial" w:hAnsi="Arial" w:cs="Arial"/>
        </w:rPr>
        <w:t>ition in such sectors and countries. We operate through a number of formats, including supermarkets, home improvement stores, shopping centers and department stores. We are headquartered in Chile and have operations in Chile, Argentina, Brazil, Colombia an</w:t>
      </w:r>
      <w:r>
        <w:rPr>
          <w:rFonts w:ascii="Arial" w:hAnsi="Arial" w:cs="Arial"/>
        </w:rPr>
        <w:t>d Peru. Our business consists of six segments, including four retail segments, which allows us to reach a wide range of customers offering various combinations of products, price, quality and service. We seek to increase operations through organic growth a</w:t>
      </w:r>
      <w:r>
        <w:rPr>
          <w:rFonts w:ascii="Arial" w:hAnsi="Arial" w:cs="Arial"/>
        </w:rPr>
        <w:t xml:space="preserve">nd acquisitions in Brazil and Peru, which the Company believes are high growth and underpenetrated markets due to their favorable demographics, sustainable household consumption growth, low formal retail penetration, and strong macroeconomic environments, </w:t>
      </w:r>
      <w:r>
        <w:rPr>
          <w:rFonts w:ascii="Arial" w:hAnsi="Arial" w:cs="Arial"/>
        </w:rPr>
        <w:t>as described in _Business_Our Business_ and _Industry Overview and Competition._ As a complement to our core retailing business, we are actively involved across the region in the commercial real estate development business, particularly in Chile, Argentina</w:t>
      </w:r>
      <w:r>
        <w:rPr>
          <w:rFonts w:ascii="Arial" w:hAnsi="Arial" w:cs="Arial"/>
        </w:rPr>
        <w:t xml:space="preserve"> and Peru, with 25 shopping malls representing 566,442 square meters of gross leasable area as of March 31, 2012, and we also offer private label credit cards, consumer loans and limited financial services to our retail customers. </w:t>
      </w:r>
    </w:p>
    <w:p w:rsidR="00000000" w:rsidRDefault="003E5AFF">
      <w:pPr>
        <w:pStyle w:val="NormalWeb"/>
        <w:spacing w:before="120" w:beforeAutospacing="0" w:after="0" w:afterAutospacing="0"/>
        <w:divId w:val="2103380808"/>
      </w:pPr>
      <w:r>
        <w:rPr>
          <w:rFonts w:ascii="Arial" w:hAnsi="Arial" w:cs="Arial"/>
        </w:rPr>
        <w:t>For the year ended Decem</w:t>
      </w:r>
      <w:r>
        <w:rPr>
          <w:rFonts w:ascii="Arial" w:hAnsi="Arial" w:cs="Arial"/>
        </w:rPr>
        <w:t>ber 31, 2011, we had 826 stores and shopping centers with an aggregate of 3,131,729 square meters selling space and had assets of Ch$7,656,561 million, liabilities of Ch$4,686,927 million, net earnings attributable to controlling shareholders of Ch$285,915</w:t>
      </w:r>
      <w:r>
        <w:rPr>
          <w:rFonts w:ascii="Arial" w:hAnsi="Arial" w:cs="Arial"/>
        </w:rPr>
        <w:t xml:space="preserve"> million, and shareholders_ equity of Ch$2,874,438 million. </w:t>
      </w:r>
    </w:p>
    <w:p w:rsidR="00000000" w:rsidRDefault="003E5AFF">
      <w:pPr>
        <w:pStyle w:val="NormalWeb"/>
        <w:spacing w:before="120" w:beforeAutospacing="0" w:after="0" w:afterAutospacing="0"/>
        <w:divId w:val="2103380808"/>
      </w:pPr>
      <w:r>
        <w:rPr>
          <w:rFonts w:ascii="Arial" w:hAnsi="Arial" w:cs="Arial"/>
        </w:rPr>
        <w:t>Throughout our 35-year history of growth we have developed, acquired, integrated and expanded several retail businesses with strong brands in the various markets where we operate. Since January 1</w:t>
      </w:r>
      <w:r>
        <w:rPr>
          <w:rFonts w:ascii="Arial" w:hAnsi="Arial" w:cs="Arial"/>
        </w:rPr>
        <w:t>, 2005, we have grown our total number of stores and shopping centers from 425 to 906 and the total selling space of our retail stores and shopping centers from 1,433,838 to 3,302,564 square meters. In addition, over the same period, we completed several s</w:t>
      </w:r>
      <w:r>
        <w:rPr>
          <w:rFonts w:ascii="Arial" w:hAnsi="Arial" w:cs="Arial"/>
        </w:rPr>
        <w:t xml:space="preserve">trategic acquisitions that have significantly increased the size and geographic scope of our operations. </w:t>
      </w:r>
    </w:p>
    <w:p w:rsidR="00000000" w:rsidRDefault="003E5AFF">
      <w:pPr>
        <w:pStyle w:val="NormalWeb"/>
        <w:spacing w:before="0" w:beforeAutospacing="0" w:after="0" w:afterAutospacing="0"/>
        <w:divId w:val="2103380808"/>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- 1 - </w:t>
      </w:r>
    </w:p>
    <w:p w:rsidR="00000000" w:rsidRDefault="003E5AFF">
      <w:pPr>
        <w:rPr>
          <w:rFonts w:eastAsia="Times New Roman" w:cs="Times New Roman"/>
        </w:rPr>
      </w:pPr>
      <w:r>
        <w:rPr>
          <w:rFonts w:eastAsia="Times New Roman" w:cs="Times New Roman"/>
        </w:rPr>
        <w:pict>
          <v:rect id="_x0000_i1034" style="width:441.9pt;height:3pt" o:hralign="center" o:hrstd="t" o:hrnoshade="t" o:hr="t" fillcolor="#999" stroked="f"/>
        </w:pict>
      </w:r>
    </w:p>
    <w:p w:rsidR="00000000" w:rsidRDefault="003E5AFF">
      <w:pPr>
        <w:pStyle w:val="Heading5"/>
        <w:rPr>
          <w:rFonts w:eastAsia="Times New Roman" w:cs="Times New Roman"/>
        </w:rPr>
      </w:pPr>
      <w:hyperlink r:id="rId51" w:anchor="toc" w:history="1">
        <w:r>
          <w:rPr>
            <w:rStyle w:val="Hyperlink"/>
            <w:rFonts w:eastAsia="Times New Roman" w:cs="Times New Roman"/>
          </w:rPr>
          <w:t>Table of Contents</w:t>
        </w:r>
      </w:hyperlink>
    </w:p>
    <w:p w:rsidR="00000000" w:rsidRDefault="003E5AFF">
      <w:pPr>
        <w:pStyle w:val="NormalWeb"/>
        <w:divId w:val="90902223"/>
      </w:pPr>
      <w:r>
        <w:t> </w:t>
      </w:r>
    </w:p>
    <w:p w:rsidR="00000000" w:rsidRDefault="003E5AFF">
      <w:pPr>
        <w:pStyle w:val="NormalWeb"/>
        <w:spacing w:before="0" w:beforeAutospacing="0" w:after="0" w:afterAutospacing="0"/>
        <w:ind w:left="238" w:hanging="245"/>
        <w:jc w:val="center"/>
        <w:divId w:val="90902223"/>
      </w:pPr>
      <w:r>
        <w:fldChar w:fldCharType="begin" w:fldLock="1"/>
      </w:r>
      <w:r>
        <w:instrText xml:space="preserve"> </w:instrText>
      </w:r>
      <w:r>
        <w:instrText>INCLUDEPICTURE  \d "Macintosh HD:Users:Go:Dropbox:Creatika (1):5 Filings:Filings SEC:./Amendment No. 2 to Form F-1_files/g343004g94m05.jpg" \x \y \* MERGEFORMATINET</w:instrText>
      </w:r>
      <w:r>
        <w:instrText xml:space="preserve"> </w:instrText>
      </w:r>
      <w:r>
        <w:fldChar w:fldCharType="separate"/>
      </w:r>
      <w:r>
        <w:pict>
          <v:shape id="_x0000_i1035" type="#_x0000_t75" alt="OGO" style="width:24pt;height:24pt">
            <v:imagedata r:id="rId52"/>
          </v:shape>
        </w:pict>
      </w:r>
      <w:r>
        <w:fldChar w:fldCharType="end"/>
      </w:r>
    </w:p>
    <w:p w:rsidR="00000000" w:rsidRDefault="003E5AFF">
      <w:pPr>
        <w:pStyle w:val="NormalWeb"/>
        <w:spacing w:before="120" w:beforeAutospacing="0" w:after="0" w:afterAutospacing="0"/>
        <w:divId w:val="90902223"/>
      </w:pPr>
      <w:r>
        <w:rPr>
          <w:rFonts w:ascii="Arial" w:hAnsi="Arial" w:cs="Arial"/>
        </w:rPr>
        <w:t>We believe that our strategy of operating as an integrated multi-format and multi-brand retailer, combined with our broad product offering and portfolio of brands has been one of the key strategic advantages in the successful growth of our businesses. Toda</w:t>
      </w:r>
      <w:r>
        <w:rPr>
          <w:rFonts w:ascii="Arial" w:hAnsi="Arial" w:cs="Arial"/>
        </w:rPr>
        <w:t>y we operate a diversified operational and geographic footprint across Latin American markets with highly attractive demographics and strong macroeconomic fundamentals. We believe that our broad presence and our competitive position across key markets will</w:t>
      </w:r>
      <w:r>
        <w:rPr>
          <w:rFonts w:ascii="Arial" w:hAnsi="Arial" w:cs="Arial"/>
        </w:rPr>
        <w:t xml:space="preserve"> continue to allow us to consolidate the retail market and to benefit from the expected strong growth in underpenetrated retail markets such as Brazil and Peru. </w:t>
      </w:r>
    </w:p>
    <w:p w:rsidR="00000000" w:rsidRDefault="003E5AFF">
      <w:pPr>
        <w:pStyle w:val="NormalWeb"/>
        <w:spacing w:before="120" w:beforeAutospacing="0" w:after="0" w:afterAutospacing="0"/>
        <w:divId w:val="90902223"/>
      </w:pPr>
      <w:r>
        <w:rPr>
          <w:rFonts w:ascii="Arial" w:hAnsi="Arial" w:cs="Arial"/>
        </w:rPr>
        <w:t xml:space="preserve">The following table presents our total number of stores and shopping centers by country as of </w:t>
      </w:r>
      <w:r>
        <w:rPr>
          <w:rFonts w:ascii="Arial" w:hAnsi="Arial" w:cs="Arial"/>
        </w:rPr>
        <w:t xml:space="preserve">March 31, 2012: </w:t>
      </w:r>
    </w:p>
    <w:p w:rsidR="00000000" w:rsidRDefault="003E5AFF">
      <w:pPr>
        <w:pStyle w:val="NormalWeb"/>
        <w:spacing w:before="0" w:beforeAutospacing="0" w:after="0" w:afterAutospacing="0"/>
        <w:divId w:val="90902223"/>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946"/>
        <w:gridCol w:w="147"/>
        <w:gridCol w:w="70"/>
        <w:gridCol w:w="419"/>
        <w:gridCol w:w="112"/>
        <w:gridCol w:w="147"/>
        <w:gridCol w:w="134"/>
        <w:gridCol w:w="800"/>
        <w:gridCol w:w="112"/>
        <w:gridCol w:w="147"/>
        <w:gridCol w:w="78"/>
        <w:gridCol w:w="467"/>
        <w:gridCol w:w="112"/>
        <w:gridCol w:w="148"/>
        <w:gridCol w:w="89"/>
        <w:gridCol w:w="356"/>
        <w:gridCol w:w="112"/>
        <w:gridCol w:w="148"/>
        <w:gridCol w:w="304"/>
        <w:gridCol w:w="608"/>
        <w:gridCol w:w="112"/>
        <w:gridCol w:w="148"/>
        <w:gridCol w:w="69"/>
        <w:gridCol w:w="409"/>
        <w:gridCol w:w="112"/>
      </w:tblGrid>
      <w:tr w:rsidR="00000000">
        <w:trPr>
          <w:divId w:val="90902223"/>
          <w:jc w:val="center"/>
        </w:trPr>
        <w:tc>
          <w:tcPr>
            <w:tcW w:w="30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90902223"/>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Chile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Argentina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Brazil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Peru</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Colombia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0902223"/>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90902223"/>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0902223"/>
          <w:jc w:val="center"/>
        </w:trPr>
        <w:tc>
          <w:tcPr>
            <w:tcW w:w="0" w:type="auto"/>
            <w:shd w:val="clear" w:color="auto" w:fill="CCEEFF"/>
            <w:hideMark/>
          </w:tcPr>
          <w:p w:rsidR="00000000" w:rsidRDefault="003E5AFF">
            <w:pPr>
              <w:pStyle w:val="NormalWeb"/>
              <w:ind w:left="24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0902223"/>
          <w:jc w:val="center"/>
        </w:trPr>
        <w:tc>
          <w:tcPr>
            <w:tcW w:w="0" w:type="auto"/>
            <w:hideMark/>
          </w:tcPr>
          <w:p w:rsidR="00000000" w:rsidRDefault="003E5AFF">
            <w:pPr>
              <w:pStyle w:val="NormalWeb"/>
              <w:ind w:left="24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0902223"/>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0902223"/>
          <w:jc w:val="center"/>
        </w:trPr>
        <w:tc>
          <w:tcPr>
            <w:tcW w:w="0" w:type="auto"/>
            <w:hideMark/>
          </w:tcPr>
          <w:p w:rsidR="00000000" w:rsidRDefault="003E5AFF">
            <w:pPr>
              <w:pStyle w:val="NormalWeb"/>
              <w:ind w:left="240" w:hanging="240"/>
            </w:pPr>
            <w:r>
              <w:rPr>
                <w:rFonts w:ascii="Arial" w:hAnsi="Arial" w:cs="Arial"/>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0902223"/>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divId w:val="90902223"/>
      </w:pPr>
      <w:r>
        <w:rPr>
          <w:rFonts w:ascii="Arial" w:hAnsi="Arial" w:cs="Arial"/>
        </w:rPr>
        <w:t xml:space="preserve">In summary, highlights of our commercial activities up to March 31, 2012 include: </w:t>
      </w:r>
    </w:p>
    <w:p w:rsidR="00000000" w:rsidRDefault="003E5AFF">
      <w:pPr>
        <w:pStyle w:val="NormalWeb"/>
        <w:spacing w:before="0" w:beforeAutospacing="0" w:after="0" w:afterAutospacing="0"/>
        <w:divId w:val="90902223"/>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rPr>
          <w:divId w:val="90902223"/>
        </w:trPr>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906 stores and shopping centers as of March 31, 2012, an increase of 113% compared to 425 stores and shopping centers as of January 1, 2005. </w:t>
            </w:r>
          </w:p>
        </w:tc>
      </w:tr>
    </w:tbl>
    <w:p w:rsidR="00000000" w:rsidRDefault="003E5AFF">
      <w:pPr>
        <w:pStyle w:val="NormalWeb"/>
        <w:spacing w:before="0" w:beforeAutospacing="0" w:after="0" w:afterAutospacing="0"/>
        <w:divId w:val="90902223"/>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rPr>
          <w:divId w:val="90902223"/>
        </w:trPr>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3.3 million square meters of selling space as of March 31, 2012, an increase of 130% compared to </w:t>
            </w:r>
            <w:r>
              <w:rPr>
                <w:rFonts w:ascii="Arial" w:hAnsi="Arial" w:cs="Arial"/>
              </w:rPr>
              <w:t xml:space="preserve">1.4 million square meters as of January 1, 2005. </w:t>
            </w:r>
          </w:p>
        </w:tc>
      </w:tr>
    </w:tbl>
    <w:p w:rsidR="00000000" w:rsidRDefault="003E5AFF">
      <w:pPr>
        <w:pStyle w:val="NormalWeb"/>
        <w:spacing w:before="0" w:beforeAutospacing="0" w:after="0" w:afterAutospacing="0"/>
        <w:divId w:val="90902223"/>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rPr>
          <w:divId w:val="90902223"/>
        </w:trPr>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More than 800 million people visited our stores and shopping centers in 2011, completing a total of 661 million transactions. </w:t>
            </w:r>
          </w:p>
        </w:tc>
      </w:tr>
    </w:tbl>
    <w:p w:rsidR="00000000" w:rsidRDefault="003E5AFF">
      <w:pPr>
        <w:pStyle w:val="NormalWeb"/>
        <w:spacing w:before="0" w:beforeAutospacing="0" w:after="0" w:afterAutospacing="0"/>
        <w:divId w:val="90902223"/>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rPr>
          <w:divId w:val="90902223"/>
        </w:trPr>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More than 450 </w:t>
            </w:r>
            <w:r>
              <w:rPr>
                <w:rFonts w:ascii="Arial" w:hAnsi="Arial" w:cs="Arial"/>
              </w:rPr>
              <w:t xml:space="preserve">thousand products offered through diversified business segments and 15 brand names present in five countries as of March 31, 2012. </w:t>
            </w:r>
          </w:p>
        </w:tc>
      </w:tr>
    </w:tbl>
    <w:p w:rsidR="00000000" w:rsidRDefault="003E5AFF">
      <w:pPr>
        <w:pStyle w:val="NormalWeb"/>
        <w:spacing w:before="0" w:beforeAutospacing="0" w:after="0" w:afterAutospacing="0"/>
        <w:divId w:val="90902223"/>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rPr>
          <w:divId w:val="90902223"/>
        </w:trPr>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 total of 4.3 million credit cards issued and U.S.$ 1.53 billion in credit card operations as of March </w:t>
            </w:r>
            <w:r>
              <w:rPr>
                <w:rFonts w:ascii="Arial" w:hAnsi="Arial" w:cs="Arial"/>
              </w:rPr>
              <w:t xml:space="preserve">31, 2012 . </w:t>
            </w:r>
          </w:p>
        </w:tc>
      </w:tr>
    </w:tbl>
    <w:p w:rsidR="00000000" w:rsidRDefault="003E5AFF">
      <w:pPr>
        <w:pStyle w:val="NormalWeb"/>
        <w:spacing w:before="0" w:beforeAutospacing="0" w:after="0" w:afterAutospacing="0"/>
        <w:divId w:val="90902223"/>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- 2 - </w:t>
      </w:r>
    </w:p>
    <w:p w:rsidR="00000000" w:rsidRDefault="003E5AFF">
      <w:pPr>
        <w:rPr>
          <w:rFonts w:eastAsia="Times New Roman" w:cs="Times New Roman"/>
        </w:rPr>
      </w:pPr>
      <w:r>
        <w:rPr>
          <w:rFonts w:eastAsia="Times New Roman" w:cs="Times New Roman"/>
        </w:rPr>
        <w:pict>
          <v:rect id="_x0000_i1036" style="width:441.9pt;height:3pt" o:hralign="center" o:hrstd="t" o:hrnoshade="t" o:hr="t" fillcolor="#999" stroked="f"/>
        </w:pict>
      </w:r>
    </w:p>
    <w:p w:rsidR="00000000" w:rsidRDefault="003E5AFF">
      <w:pPr>
        <w:pStyle w:val="Heading5"/>
        <w:rPr>
          <w:rFonts w:eastAsia="Times New Roman" w:cs="Times New Roman"/>
        </w:rPr>
      </w:pPr>
      <w:hyperlink r:id="rId5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divId w:val="1518077034"/>
      </w:pPr>
      <w:r>
        <w:rPr>
          <w:rFonts w:ascii="Arial" w:hAnsi="Arial" w:cs="Arial"/>
        </w:rPr>
        <w:t>The following table indicates the percentages of revenues from ordinary activities, gross margin and Adjusted EBITDA, as defined below, that each of our geographical marke</w:t>
      </w:r>
      <w:r>
        <w:rPr>
          <w:rFonts w:ascii="Arial" w:hAnsi="Arial" w:cs="Arial"/>
        </w:rPr>
        <w:t xml:space="preserve">ts represented, for the period indicated: </w:t>
      </w:r>
    </w:p>
    <w:p w:rsidR="00000000" w:rsidRDefault="003E5AFF">
      <w:pPr>
        <w:pStyle w:val="NormalWeb"/>
        <w:spacing w:before="0" w:beforeAutospacing="0" w:after="0" w:afterAutospacing="0"/>
        <w:divId w:val="1518077034"/>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268"/>
        <w:gridCol w:w="172"/>
        <w:gridCol w:w="56"/>
        <w:gridCol w:w="568"/>
        <w:gridCol w:w="112"/>
        <w:gridCol w:w="172"/>
        <w:gridCol w:w="84"/>
        <w:gridCol w:w="850"/>
        <w:gridCol w:w="112"/>
        <w:gridCol w:w="172"/>
        <w:gridCol w:w="56"/>
        <w:gridCol w:w="568"/>
        <w:gridCol w:w="112"/>
        <w:gridCol w:w="172"/>
        <w:gridCol w:w="56"/>
        <w:gridCol w:w="456"/>
        <w:gridCol w:w="112"/>
        <w:gridCol w:w="173"/>
        <w:gridCol w:w="88"/>
        <w:gridCol w:w="824"/>
        <w:gridCol w:w="123"/>
      </w:tblGrid>
      <w:tr w:rsidR="00000000">
        <w:trPr>
          <w:divId w:val="1518077034"/>
          <w:jc w:val="center"/>
        </w:trPr>
        <w:tc>
          <w:tcPr>
            <w:tcW w:w="28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518077034"/>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518077034"/>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Brazil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518077034"/>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518077034"/>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518077034"/>
          <w:jc w:val="center"/>
        </w:trPr>
        <w:tc>
          <w:tcPr>
            <w:tcW w:w="0" w:type="auto"/>
            <w:shd w:val="clear" w:color="auto" w:fill="CCEEFF"/>
            <w:hideMark/>
          </w:tcPr>
          <w:p w:rsidR="00000000" w:rsidRDefault="003E5AFF">
            <w:pPr>
              <w:pStyle w:val="NormalWeb"/>
              <w:ind w:left="240" w:hanging="240"/>
            </w:pPr>
            <w:r>
              <w:rPr>
                <w:rFonts w:ascii="Arial" w:hAnsi="Arial" w:cs="Arial"/>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518077034"/>
          <w:jc w:val="center"/>
        </w:trPr>
        <w:tc>
          <w:tcPr>
            <w:tcW w:w="0" w:type="auto"/>
            <w:hideMark/>
          </w:tcPr>
          <w:p w:rsidR="00000000" w:rsidRDefault="003E5AFF">
            <w:pPr>
              <w:pStyle w:val="NormalWeb"/>
              <w:ind w:left="240" w:hanging="240"/>
            </w:pPr>
            <w:r>
              <w:rPr>
                <w:rFonts w:ascii="Arial" w:hAnsi="Arial" w:cs="Arial"/>
              </w:rPr>
              <w:t>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518077034"/>
          <w:jc w:val="center"/>
        </w:trPr>
        <w:tc>
          <w:tcPr>
            <w:tcW w:w="0" w:type="auto"/>
            <w:shd w:val="clear" w:color="auto" w:fill="CCEEFF"/>
            <w:hideMark/>
          </w:tcPr>
          <w:p w:rsidR="00000000" w:rsidRDefault="003E5AFF">
            <w:pPr>
              <w:pStyle w:val="NormalWeb"/>
              <w:ind w:left="240" w:hanging="240"/>
            </w:pPr>
            <w:r>
              <w:rPr>
                <w:rFonts w:ascii="Arial" w:hAnsi="Arial" w:cs="Arial"/>
              </w:rPr>
              <w:t>Adjusted EBITDA(1)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518077034"/>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518077034"/>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518077034"/>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0" w:beforeAutospacing="0" w:after="0" w:afterAutospacing="0"/>
        <w:divId w:val="1518077034"/>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- 3 - </w:t>
      </w:r>
    </w:p>
    <w:p w:rsidR="00000000" w:rsidRDefault="003E5AFF">
      <w:pPr>
        <w:rPr>
          <w:rFonts w:eastAsia="Times New Roman" w:cs="Times New Roman"/>
        </w:rPr>
      </w:pPr>
      <w:r>
        <w:rPr>
          <w:rFonts w:eastAsia="Times New Roman" w:cs="Times New Roman"/>
        </w:rPr>
        <w:pict>
          <v:rect id="_x0000_i1037" style="width:441.9pt;height:3pt" o:hralign="center" o:hrstd="t" o:hrnoshade="t" o:hr="t" fillcolor="#999" stroked="f"/>
        </w:pict>
      </w:r>
    </w:p>
    <w:p w:rsidR="00000000" w:rsidRDefault="003E5AFF">
      <w:pPr>
        <w:pStyle w:val="Heading5"/>
        <w:rPr>
          <w:rFonts w:eastAsia="Times New Roman" w:cs="Times New Roman"/>
        </w:rPr>
      </w:pPr>
      <w:hyperlink r:id="rId5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divId w:val="1403455156"/>
      </w:pPr>
      <w:r>
        <w:rPr>
          <w:rFonts w:ascii="Arial" w:hAnsi="Arial" w:cs="Arial"/>
        </w:rPr>
        <w:t xml:space="preserve">The following tables sets forth key financial and operating data for each of our principal segments: </w:t>
      </w:r>
    </w:p>
    <w:p w:rsidR="00000000" w:rsidRDefault="003E5AFF">
      <w:pPr>
        <w:pStyle w:val="NormalWeb"/>
        <w:spacing w:before="0" w:beforeAutospacing="0" w:after="0" w:afterAutospacing="0"/>
        <w:divId w:val="1403455156"/>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007"/>
        <w:gridCol w:w="191"/>
        <w:gridCol w:w="80"/>
        <w:gridCol w:w="1276"/>
        <w:gridCol w:w="191"/>
        <w:gridCol w:w="254"/>
        <w:gridCol w:w="56"/>
        <w:gridCol w:w="890"/>
        <w:gridCol w:w="112"/>
        <w:gridCol w:w="191"/>
        <w:gridCol w:w="56"/>
        <w:gridCol w:w="890"/>
        <w:gridCol w:w="112"/>
      </w:tblGrid>
      <w:tr w:rsidR="00000000">
        <w:trPr>
          <w:divId w:val="1403455156"/>
          <w:jc w:val="center"/>
        </w:trPr>
        <w:tc>
          <w:tcPr>
            <w:tcW w:w="31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403455156"/>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403455156"/>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403455156"/>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403455156"/>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403455156"/>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3,315.08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1,615,903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1,268,227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813.91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396,732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311,397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193.86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94,494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82,705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1,672,828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1,672,828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1,440,897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532.00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259,320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227,174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166.99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81,398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51.31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22,063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704,457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704,457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672,251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378.47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184,480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143,612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97.29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47,423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39,565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358,837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358,837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237,627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67.31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32,812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29,558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56.85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44.45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Number of 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Total leasable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566,442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566,442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542,735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Financial Services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148.63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72,450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65,969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94.35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45,990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51,466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49.28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24,021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29,876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403455156"/>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403455156"/>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403455156"/>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Excluding number of stores and shopping centers, total selling space and gross leasable area. </w:t>
            </w:r>
          </w:p>
        </w:tc>
      </w:tr>
    </w:tbl>
    <w:p w:rsidR="00000000" w:rsidRDefault="003E5AFF">
      <w:pPr>
        <w:pStyle w:val="NormalWeb"/>
        <w:spacing w:before="0" w:beforeAutospacing="0" w:after="0" w:afterAutospacing="0"/>
        <w:divId w:val="1403455156"/>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403455156"/>
        </w:trPr>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0" w:beforeAutospacing="0" w:after="0" w:afterAutospacing="0"/>
        <w:divId w:val="1403455156"/>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- 4 - </w:t>
      </w:r>
    </w:p>
    <w:p w:rsidR="00000000" w:rsidRDefault="003E5AFF">
      <w:pPr>
        <w:rPr>
          <w:rFonts w:eastAsia="Times New Roman" w:cs="Times New Roman"/>
        </w:rPr>
      </w:pPr>
      <w:r>
        <w:rPr>
          <w:rFonts w:eastAsia="Times New Roman" w:cs="Times New Roman"/>
        </w:rPr>
        <w:pict>
          <v:rect id="_x0000_i1038" style="width:441.9pt;height:3pt" o:hralign="center" o:hrstd="t" o:hrnoshade="t" o:hr="t" fillcolor="#999" stroked="f"/>
        </w:pict>
      </w:r>
    </w:p>
    <w:p w:rsidR="00000000" w:rsidRDefault="003E5AFF">
      <w:pPr>
        <w:pStyle w:val="Heading5"/>
        <w:rPr>
          <w:rFonts w:eastAsia="Times New Roman" w:cs="Times New Roman"/>
        </w:rPr>
      </w:pPr>
      <w:hyperlink r:id="rId55"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1442"/>
        <w:gridCol w:w="262"/>
        <w:gridCol w:w="501"/>
        <w:gridCol w:w="946"/>
        <w:gridCol w:w="262"/>
        <w:gridCol w:w="262"/>
        <w:gridCol w:w="367"/>
        <w:gridCol w:w="890"/>
        <w:gridCol w:w="112"/>
        <w:gridCol w:w="262"/>
        <w:gridCol w:w="367"/>
        <w:gridCol w:w="890"/>
        <w:gridCol w:w="112"/>
        <w:gridCol w:w="262"/>
        <w:gridCol w:w="367"/>
        <w:gridCol w:w="890"/>
        <w:gridCol w:w="112"/>
      </w:tblGrid>
      <w:tr w:rsidR="00000000">
        <w:trPr>
          <w:divId w:val="1852253775"/>
          <w:jc w:val="center"/>
        </w:trPr>
        <w:tc>
          <w:tcPr>
            <w:tcW w:w="220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852253775"/>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852253775"/>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852253775"/>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852253775"/>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 11,398.88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5,556,271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4,452,759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4,006,366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2,828.26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1,378,607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1,096,963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951,883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771.71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376,164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307,711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252,843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684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1,591,332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1,591,332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1,404,631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1,156,607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1,946.17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948,641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819,838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671,517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618.13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301,303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258,832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201,351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171.90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83,792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69,787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48,945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703,170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703,170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700,579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618,456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1,417.14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622,719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516,537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392.58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191,359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175,950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135,968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96.40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46,990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40,795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11,390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272,388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272,388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234,489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217,698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266.14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129,727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116,991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108,168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226.24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205.03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99,937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89,076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77,360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Number of 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Total leasable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564,839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564,839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542,735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516,410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Financial Services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549.55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267,874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221,010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261,257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373.88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182,242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150,552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132,348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193.57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94,355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68,143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852253775"/>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852253775"/>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852253775"/>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Excluding number of stores and shopping centers, total selling space and gross leasable area. </w:t>
            </w:r>
          </w:p>
        </w:tc>
      </w:tr>
    </w:tbl>
    <w:p w:rsidR="00000000" w:rsidRDefault="003E5AFF">
      <w:pPr>
        <w:pStyle w:val="NormalWeb"/>
        <w:spacing w:before="0" w:beforeAutospacing="0" w:after="0" w:afterAutospacing="0"/>
        <w:divId w:val="1852253775"/>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852253775"/>
        </w:trPr>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120" w:beforeAutospacing="0" w:after="0" w:afterAutospacing="0"/>
        <w:divId w:val="1852253775"/>
      </w:pPr>
      <w:r>
        <w:rPr>
          <w:rFonts w:ascii="Arial" w:hAnsi="Arial" w:cs="Arial"/>
        </w:rPr>
        <w:t xml:space="preserve">We </w:t>
      </w:r>
      <w:r>
        <w:rPr>
          <w:rFonts w:ascii="Arial" w:hAnsi="Arial" w:cs="Arial"/>
        </w:rPr>
        <w:t xml:space="preserve">are organized in six business segments: supermarkets, home improvement stores, department stores, shopping centers and financial services, plus complementary activities described as _Other._ </w:t>
      </w:r>
    </w:p>
    <w:p w:rsidR="00000000" w:rsidRDefault="003E5AFF">
      <w:pPr>
        <w:pStyle w:val="NormalWeb"/>
        <w:spacing w:before="120" w:beforeAutospacing="0" w:after="0" w:afterAutospacing="0"/>
        <w:divId w:val="1852253775"/>
      </w:pPr>
      <w:r>
        <w:rPr>
          <w:rFonts w:ascii="Arial" w:hAnsi="Arial" w:cs="Arial"/>
          <w:i/>
          <w:iCs/>
        </w:rPr>
        <w:t>Supermarkets</w:t>
      </w:r>
      <w:r>
        <w:rPr>
          <w:rFonts w:ascii="Arial" w:hAnsi="Arial" w:cs="Arial"/>
        </w:rPr>
        <w:t>.    We operate 726 supermarkets throughout Chile, A</w:t>
      </w:r>
      <w:r>
        <w:rPr>
          <w:rFonts w:ascii="Arial" w:hAnsi="Arial" w:cs="Arial"/>
        </w:rPr>
        <w:t>rgentina, Brazil and Peru, as of March 31, 2012, selling a wide variety of name brand and private label products. We believe that we are the second-largest supermarket operator in both Chile and Argentina, in terms of revenues, based on our comparisons aga</w:t>
      </w:r>
      <w:r>
        <w:rPr>
          <w:rFonts w:ascii="Arial" w:hAnsi="Arial" w:cs="Arial"/>
        </w:rPr>
        <w:t xml:space="preserve">inst information from public filings of our main competitors as of December 31, 2011, and in Argentina, based also on information provided by third-party market researcher, Planet Retail. We pioneered the hypermarket format in Chile with </w:t>
      </w:r>
    </w:p>
    <w:p w:rsidR="00000000" w:rsidRDefault="003E5AFF">
      <w:pPr>
        <w:pStyle w:val="NormalWeb"/>
        <w:spacing w:before="0" w:beforeAutospacing="0" w:after="0" w:afterAutospacing="0"/>
        <w:divId w:val="1852253775"/>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- 5 - </w:t>
      </w:r>
    </w:p>
    <w:p w:rsidR="00000000" w:rsidRDefault="003E5AFF">
      <w:pPr>
        <w:rPr>
          <w:rFonts w:eastAsia="Times New Roman" w:cs="Times New Roman"/>
        </w:rPr>
      </w:pPr>
      <w:r>
        <w:rPr>
          <w:rFonts w:eastAsia="Times New Roman" w:cs="Times New Roman"/>
        </w:rPr>
        <w:pict>
          <v:rect id="_x0000_i1039" style="width:441.9pt;height:3pt" o:hralign="center" o:hrstd="t" o:hrnoshade="t" o:hr="t" fillcolor="#999" stroked="f"/>
        </w:pict>
      </w:r>
    </w:p>
    <w:p w:rsidR="00000000" w:rsidRDefault="003E5AFF">
      <w:pPr>
        <w:pStyle w:val="Heading5"/>
        <w:rPr>
          <w:rFonts w:eastAsia="Times New Roman" w:cs="Times New Roman"/>
        </w:rPr>
      </w:pPr>
      <w:hyperlink r:id="rId5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divId w:val="576402067"/>
      </w:pPr>
      <w:r>
        <w:rPr>
          <w:rFonts w:ascii="Arial" w:hAnsi="Arial" w:cs="Arial"/>
        </w:rPr>
        <w:t>the opening of our first Jumbo hypermarket in 1976. Since then, we have expanded and grown our supermarkets division, and as of March 3</w:t>
      </w:r>
      <w:r>
        <w:rPr>
          <w:rFonts w:ascii="Arial" w:hAnsi="Arial" w:cs="Arial"/>
        </w:rPr>
        <w:t>1, 2012 we owned a total of 32 Jumbo hypermarkets and 159 Santa Isabel supermarkets in Chile. We operate 22 Jumbo hypermarkets and 250 Disco and Super Vea supermarkets in Argentina, as of March 31, 2012. In Brazil, as a result of recent acquisitions, we ar</w:t>
      </w:r>
      <w:r>
        <w:rPr>
          <w:rFonts w:ascii="Arial" w:hAnsi="Arial" w:cs="Arial"/>
        </w:rPr>
        <w:t xml:space="preserve">e now the fourth-largest supermarket operator in terms of revenues, according to the </w:t>
      </w:r>
      <w:r>
        <w:rPr>
          <w:rFonts w:ascii="Arial" w:hAnsi="Arial" w:cs="Arial"/>
          <w:i/>
          <w:iCs/>
        </w:rPr>
        <w:t>Associa?_o Brasileira de Supermercados</w:t>
      </w:r>
      <w:r>
        <w:rPr>
          <w:rFonts w:ascii="Arial" w:hAnsi="Arial" w:cs="Arial"/>
        </w:rPr>
        <w:t xml:space="preserve"> (the Brazilian Association of Supermarkets, or _ABRAS_). We believe we are the largest operator in the state of Minas Gerais, the se</w:t>
      </w:r>
      <w:r>
        <w:rPr>
          <w:rFonts w:ascii="Arial" w:hAnsi="Arial" w:cs="Arial"/>
        </w:rPr>
        <w:t>cond-largest in the northeast of Brazil, and we estimate we are the third-largest in the state of Rio de Janeiro (after the acquisition of Prezunic Comercial Ltda. (_Prezunic_) in January 2012), all in terms of sales. Recently, in October 2011, we acquired</w:t>
      </w:r>
      <w:r>
        <w:rPr>
          <w:rFonts w:ascii="Arial" w:hAnsi="Arial" w:cs="Arial"/>
        </w:rPr>
        <w:t xml:space="preserve"> the Cardoso supermarket chain (_Cardoso_) of three stores in the state of Bahia and in January 2012 we acquired Prezunic, the operator of a supermarket chain of 31 stores in the state of Rio de Janeiro, in Brazil, thus further expanding our presence in th</w:t>
      </w:r>
      <w:r>
        <w:rPr>
          <w:rFonts w:ascii="Arial" w:hAnsi="Arial" w:cs="Arial"/>
        </w:rPr>
        <w:t xml:space="preserve">e Brazilian market. According to Apoyo y Asociados (_Apoyo_), a Peruvian Rating Agency associated with Fitch, Inc., we are the largest supermarket operator in Peru in terms of sales, with 74 stores as of March 31, 2012. </w:t>
      </w:r>
    </w:p>
    <w:p w:rsidR="00000000" w:rsidRDefault="003E5AFF">
      <w:pPr>
        <w:pStyle w:val="NormalWeb"/>
        <w:spacing w:before="120" w:beforeAutospacing="0" w:after="0" w:afterAutospacing="0"/>
        <w:divId w:val="576402067"/>
      </w:pPr>
      <w:r>
        <w:rPr>
          <w:rFonts w:ascii="Arial" w:hAnsi="Arial" w:cs="Arial"/>
          <w:i/>
          <w:iCs/>
        </w:rPr>
        <w:t>Home improvement stores</w:t>
      </w:r>
      <w:r>
        <w:rPr>
          <w:rFonts w:ascii="Arial" w:hAnsi="Arial" w:cs="Arial"/>
        </w:rPr>
        <w:t>.    We beli</w:t>
      </w:r>
      <w:r>
        <w:rPr>
          <w:rFonts w:ascii="Arial" w:hAnsi="Arial" w:cs="Arial"/>
        </w:rPr>
        <w:t xml:space="preserve">eve we are the second-largest home improvement store operator in Chile and the largest in Argentina in terms of revenues based on our comparison against publically filed information from our main competitors as of December 31, 2011. We sell a wide variety </w:t>
      </w:r>
      <w:r>
        <w:rPr>
          <w:rFonts w:ascii="Arial" w:hAnsi="Arial" w:cs="Arial"/>
        </w:rPr>
        <w:t>of building and other materials, including name brand and private label products. As of March 31, 2012, we have 29 Easy home improvement stores and 276,325 square meters of home improvement store selling space in Chile and 48 Easy and Blaisten home improve</w:t>
      </w:r>
      <w:r>
        <w:rPr>
          <w:rFonts w:ascii="Arial" w:hAnsi="Arial" w:cs="Arial"/>
        </w:rPr>
        <w:t xml:space="preserve">ment stores and 392,772 square meters of home improvement store selling space in Argentina. In October 2008, we opened the first home improvement store in Colombia and as of March 31, 2012 we have four Easy home improvement stores and 35,360 square meters </w:t>
      </w:r>
      <w:r>
        <w:rPr>
          <w:rFonts w:ascii="Arial" w:hAnsi="Arial" w:cs="Arial"/>
        </w:rPr>
        <w:t xml:space="preserve">of selling space in Colombia. </w:t>
      </w:r>
    </w:p>
    <w:p w:rsidR="00000000" w:rsidRDefault="003E5AFF">
      <w:pPr>
        <w:pStyle w:val="NormalWeb"/>
        <w:spacing w:before="120" w:beforeAutospacing="0" w:after="0" w:afterAutospacing="0"/>
        <w:divId w:val="576402067"/>
      </w:pPr>
      <w:r>
        <w:rPr>
          <w:rFonts w:ascii="Arial" w:hAnsi="Arial" w:cs="Arial"/>
          <w:i/>
          <w:iCs/>
        </w:rPr>
        <w:t>Department stores</w:t>
      </w:r>
      <w:r>
        <w:rPr>
          <w:rFonts w:ascii="Arial" w:hAnsi="Arial" w:cs="Arial"/>
        </w:rPr>
        <w:t>.    We believe that we are the second-largest department store operator in Chile, in terms of revenues based on our comparison against information from public filings of our main competitors as of December 3</w:t>
      </w:r>
      <w:r>
        <w:rPr>
          <w:rFonts w:ascii="Arial" w:hAnsi="Arial" w:cs="Arial"/>
        </w:rPr>
        <w:t>1, 2011. We also believe we have the largest selling space for department stores in Chile. We operate 35 Paris and 39 Johnson_s department stores in Chile with 358,837 square meters of total selling space as of December 31, 2011. Our Paris stores sell a wi</w:t>
      </w:r>
      <w:r>
        <w:rPr>
          <w:rFonts w:ascii="Arial" w:hAnsi="Arial" w:cs="Arial"/>
        </w:rPr>
        <w:t>de variety of merchandise such as apparel, home furnishings, electronics and sporting goods, including name brand and private label products. In December 2011, we acquired an 85.58% interest in Johnson_s S.A. (_Johnson_s_), a department store with 39 store</w:t>
      </w:r>
      <w:r>
        <w:rPr>
          <w:rFonts w:ascii="Arial" w:hAnsi="Arial" w:cs="Arial"/>
        </w:rPr>
        <w:t xml:space="preserve">s throughout Chile under the Johnson_s brand and an additional 13 stores using the FES brand with a total of 117,569 square meters or an additional 44.3% of selling space over our existing Paris stores. </w:t>
      </w:r>
    </w:p>
    <w:p w:rsidR="00000000" w:rsidRDefault="003E5AFF">
      <w:pPr>
        <w:pStyle w:val="NormalWeb"/>
        <w:spacing w:before="120" w:beforeAutospacing="0" w:after="0" w:afterAutospacing="0"/>
        <w:divId w:val="576402067"/>
      </w:pPr>
      <w:r>
        <w:rPr>
          <w:rFonts w:ascii="Arial" w:hAnsi="Arial" w:cs="Arial"/>
          <w:i/>
          <w:iCs/>
        </w:rPr>
        <w:t>Shopping centers</w:t>
      </w:r>
      <w:r>
        <w:rPr>
          <w:rFonts w:ascii="Arial" w:hAnsi="Arial" w:cs="Arial"/>
        </w:rPr>
        <w:t>.    We believe that we are the seco</w:t>
      </w:r>
      <w:r>
        <w:rPr>
          <w:rFonts w:ascii="Arial" w:hAnsi="Arial" w:cs="Arial"/>
        </w:rPr>
        <w:t>nd-largest operator of shopping centers in each of Chile and Argentina, in terms of total leasable area based on our comparisons against publically filed information from our main competitors as of December 31, 2011. As of March 31, 2012, we own and manage</w:t>
      </w:r>
      <w:r>
        <w:rPr>
          <w:rFonts w:ascii="Arial" w:hAnsi="Arial" w:cs="Arial"/>
        </w:rPr>
        <w:t xml:space="preserve"> nine shopping centers in Chile, 14 in Argentina and two in Peru with a total gross leasable area of 566,442 square meters. In Chile and Argentina, each of our shopping centers contains a Jumbo hypermarket, an Easy home improvement store and, in Chile, a P</w:t>
      </w:r>
      <w:r>
        <w:rPr>
          <w:rFonts w:ascii="Arial" w:hAnsi="Arial" w:cs="Arial"/>
        </w:rPr>
        <w:t xml:space="preserve">aris department store as well as other third-party-owned businesses intended to attract customers and enhance their overall shopping experience. </w:t>
      </w:r>
    </w:p>
    <w:p w:rsidR="00000000" w:rsidRDefault="003E5AFF">
      <w:pPr>
        <w:pStyle w:val="NormalWeb"/>
        <w:spacing w:before="120" w:beforeAutospacing="0" w:after="0" w:afterAutospacing="0"/>
        <w:divId w:val="576402067"/>
      </w:pPr>
      <w:r>
        <w:rPr>
          <w:rFonts w:ascii="Arial" w:hAnsi="Arial" w:cs="Arial"/>
          <w:i/>
          <w:iCs/>
        </w:rPr>
        <w:t>Financial services</w:t>
      </w:r>
      <w:r>
        <w:rPr>
          <w:rFonts w:ascii="Arial" w:hAnsi="Arial" w:cs="Arial"/>
        </w:rPr>
        <w:t>.    We established our financial services division in 2003 when we launched our _Jumbo M_s_</w:t>
      </w:r>
      <w:r>
        <w:rPr>
          <w:rFonts w:ascii="Arial" w:hAnsi="Arial" w:cs="Arial"/>
        </w:rPr>
        <w:t xml:space="preserve"> credit card to facilitate in-store purchases and, since then, have significantly </w:t>
      </w:r>
    </w:p>
    <w:p w:rsidR="00000000" w:rsidRDefault="003E5AFF">
      <w:pPr>
        <w:pStyle w:val="NormalWeb"/>
        <w:spacing w:before="0" w:beforeAutospacing="0" w:after="0" w:afterAutospacing="0"/>
        <w:divId w:val="576402067"/>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- 6 - </w:t>
      </w:r>
    </w:p>
    <w:p w:rsidR="00000000" w:rsidRDefault="003E5AFF">
      <w:pPr>
        <w:rPr>
          <w:rFonts w:eastAsia="Times New Roman" w:cs="Times New Roman"/>
        </w:rPr>
      </w:pPr>
      <w:r>
        <w:rPr>
          <w:rFonts w:eastAsia="Times New Roman" w:cs="Times New Roman"/>
        </w:rPr>
        <w:pict>
          <v:rect id="_x0000_i1040" style="width:441.9pt;height:3pt" o:hralign="center" o:hrstd="t" o:hrnoshade="t" o:hr="t" fillcolor="#999" stroked="f"/>
        </w:pict>
      </w:r>
    </w:p>
    <w:p w:rsidR="00000000" w:rsidRDefault="003E5AFF">
      <w:pPr>
        <w:pStyle w:val="Heading5"/>
        <w:rPr>
          <w:rFonts w:eastAsia="Times New Roman" w:cs="Times New Roman"/>
        </w:rPr>
      </w:pPr>
      <w:hyperlink r:id="rId57"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divId w:val="1699889079"/>
      </w:pPr>
      <w:r>
        <w:rPr>
          <w:rFonts w:ascii="Arial" w:hAnsi="Arial" w:cs="Arial"/>
        </w:rPr>
        <w:t>increased our credit card operations in Chile, Argentina, Brazil and Peru. We have grown both through our own private-label cards and joint ventures with third party bank issuers of credit cards, primarily to finance customers_ purchases in our st</w:t>
      </w:r>
      <w:r>
        <w:rPr>
          <w:rFonts w:ascii="Arial" w:hAnsi="Arial" w:cs="Arial"/>
        </w:rPr>
        <w:t xml:space="preserve">ores. We also own Banco Paris, a specialty retail consumer bank in Chile, which provides a wide range of consumer and financial services. In August 2010, we launched our own private label credit card in Peru and we are expanding our offerings of financial </w:t>
      </w:r>
      <w:r>
        <w:rPr>
          <w:rFonts w:ascii="Arial" w:hAnsi="Arial" w:cs="Arial"/>
        </w:rPr>
        <w:t>services. In 2011, we established Banco Cencosud S.A. (_Banco Cencosud_) in Peru and are currently applying for the operation license from the Peruvian financial services regulator (</w:t>
      </w:r>
      <w:r>
        <w:rPr>
          <w:rFonts w:ascii="Arial" w:hAnsi="Arial" w:cs="Arial"/>
          <w:i/>
          <w:iCs/>
        </w:rPr>
        <w:t>Superintendencia de Banca, Seguros y AFP</w:t>
      </w:r>
      <w:r>
        <w:rPr>
          <w:rFonts w:ascii="Arial" w:hAnsi="Arial" w:cs="Arial"/>
        </w:rPr>
        <w:t>, or _SBS_), and expect to start o</w:t>
      </w:r>
      <w:r>
        <w:rPr>
          <w:rFonts w:ascii="Arial" w:hAnsi="Arial" w:cs="Arial"/>
        </w:rPr>
        <w:t>perations in the third quarter of 2012. Recently, we entered into an agreement with a major Brazilian bank, Banco Bradesco S.A. (_Banco Bradesco_), to offer financial services for all our stores in Brazil, namely the exclusive issuance and operation of the</w:t>
      </w:r>
      <w:r>
        <w:rPr>
          <w:rFonts w:ascii="Arial" w:hAnsi="Arial" w:cs="Arial"/>
        </w:rPr>
        <w:t xml:space="preserve"> Cencosud Card credit card (</w:t>
      </w:r>
      <w:r>
        <w:rPr>
          <w:rFonts w:ascii="Arial" w:hAnsi="Arial" w:cs="Arial"/>
          <w:i/>
          <w:iCs/>
        </w:rPr>
        <w:t>Cart_o Cencosud</w:t>
      </w:r>
      <w:r>
        <w:rPr>
          <w:rFonts w:ascii="Arial" w:hAnsi="Arial" w:cs="Arial"/>
        </w:rPr>
        <w:t xml:space="preserve">), as well as the offer, within Cencosud stores in Brazil, of consumer loans, purchase financing and insurance products. </w:t>
      </w:r>
    </w:p>
    <w:p w:rsidR="00000000" w:rsidRDefault="003E5AFF">
      <w:pPr>
        <w:pStyle w:val="NormalWeb"/>
        <w:spacing w:before="120" w:beforeAutospacing="0" w:after="0" w:afterAutospacing="0"/>
        <w:divId w:val="1699889079"/>
      </w:pPr>
      <w:r>
        <w:rPr>
          <w:rFonts w:ascii="Arial" w:hAnsi="Arial" w:cs="Arial"/>
        </w:rPr>
        <w:t>As of March 31, 2012, we had a total of 4.3 million credit card and other accounts in Chile</w:t>
      </w:r>
      <w:r>
        <w:rPr>
          <w:rFonts w:ascii="Arial" w:hAnsi="Arial" w:cs="Arial"/>
        </w:rPr>
        <w:t xml:space="preserve">, Argentina, Brazil and Peru. As of March 31, 2012, we also had U.S.$ 1.53 billion in customer loans outstanding. Our financial services segment also includes our insurance brokerage services in Argentina, Chile, Brazil and Peru. </w:t>
      </w:r>
    </w:p>
    <w:p w:rsidR="00000000" w:rsidRDefault="003E5AFF">
      <w:pPr>
        <w:pStyle w:val="NormalWeb"/>
        <w:spacing w:before="120" w:beforeAutospacing="0" w:after="0" w:afterAutospacing="0"/>
        <w:divId w:val="1699889079"/>
      </w:pPr>
      <w:r>
        <w:rPr>
          <w:rFonts w:ascii="Arial" w:hAnsi="Arial" w:cs="Arial"/>
          <w:i/>
          <w:iCs/>
        </w:rPr>
        <w:t>Other</w:t>
      </w:r>
      <w:r>
        <w:rPr>
          <w:rFonts w:ascii="Arial" w:hAnsi="Arial" w:cs="Arial"/>
        </w:rPr>
        <w:t xml:space="preserve">.    In our _other_ </w:t>
      </w:r>
      <w:r>
        <w:rPr>
          <w:rFonts w:ascii="Arial" w:hAnsi="Arial" w:cs="Arial"/>
        </w:rPr>
        <w:t>segment we include the results of our Chile-based Aventura entertainment centers, which offer families the ability to enjoy different entertainment activities, such as electronic games, bowling and birthday parties; our frequent purchaser loyalty programs,</w:t>
      </w:r>
      <w:r>
        <w:rPr>
          <w:rFonts w:ascii="Arial" w:hAnsi="Arial" w:cs="Arial"/>
        </w:rPr>
        <w:t xml:space="preserve"> which provide discounts and other promotions for our customers; and our corporate back-office, treasury, trading and other operations. </w:t>
      </w:r>
    </w:p>
    <w:p w:rsidR="00000000" w:rsidRDefault="003E5AFF">
      <w:pPr>
        <w:pStyle w:val="NormalWeb"/>
        <w:spacing w:before="120" w:beforeAutospacing="0" w:after="0" w:afterAutospacing="0"/>
        <w:divId w:val="1699889079"/>
      </w:pPr>
      <w:r>
        <w:rPr>
          <w:rFonts w:ascii="Arial" w:hAnsi="Arial" w:cs="Arial"/>
        </w:rPr>
        <w:t>For the years ended December 31, 2011 and 2010, results from our _Other_ segment represented 0.2% and 0.1%, respectivel</w:t>
      </w:r>
      <w:r>
        <w:rPr>
          <w:rFonts w:ascii="Arial" w:hAnsi="Arial" w:cs="Arial"/>
        </w:rPr>
        <w:t xml:space="preserve">y, of our consolidated revenues, and for the three-month period ended March 31, 2012, our _other_ segment represented 0.2% of our consolidated revenues. </w:t>
      </w:r>
    </w:p>
    <w:p w:rsidR="00000000" w:rsidRDefault="003E5AFF">
      <w:pPr>
        <w:pStyle w:val="NormalWeb"/>
        <w:spacing w:before="120" w:beforeAutospacing="0" w:after="0" w:afterAutospacing="0"/>
        <w:divId w:val="1699889079"/>
      </w:pPr>
      <w:r>
        <w:rPr>
          <w:rFonts w:ascii="Arial" w:hAnsi="Arial" w:cs="Arial"/>
        </w:rPr>
        <w:t xml:space="preserve">See also, _Management_s Discussion and Analysis of Results of Operations_Trends and Factors Affecting </w:t>
      </w:r>
      <w:r>
        <w:rPr>
          <w:rFonts w:ascii="Arial" w:hAnsi="Arial" w:cs="Arial"/>
        </w:rPr>
        <w:t xml:space="preserve">Our Results of Operations_Impact of Acquisitions_ for additional details regarding our acquisition activities in recent years. </w:t>
      </w:r>
    </w:p>
    <w:p w:rsidR="00000000" w:rsidRDefault="003E5AFF">
      <w:pPr>
        <w:pStyle w:val="NormalWeb"/>
        <w:spacing w:before="0" w:beforeAutospacing="0" w:after="0" w:afterAutospacing="0"/>
        <w:divId w:val="1699889079"/>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67"/>
        <w:gridCol w:w="79"/>
        <w:gridCol w:w="120"/>
        <w:gridCol w:w="1214"/>
        <w:gridCol w:w="112"/>
        <w:gridCol w:w="79"/>
        <w:gridCol w:w="113"/>
        <w:gridCol w:w="1144"/>
        <w:gridCol w:w="112"/>
        <w:gridCol w:w="79"/>
        <w:gridCol w:w="122"/>
        <w:gridCol w:w="990"/>
        <w:gridCol w:w="112"/>
        <w:gridCol w:w="79"/>
        <w:gridCol w:w="83"/>
        <w:gridCol w:w="839"/>
        <w:gridCol w:w="112"/>
        <w:gridCol w:w="79"/>
        <w:gridCol w:w="78"/>
        <w:gridCol w:w="789"/>
        <w:gridCol w:w="112"/>
        <w:gridCol w:w="79"/>
        <w:gridCol w:w="56"/>
        <w:gridCol w:w="634"/>
        <w:gridCol w:w="123"/>
      </w:tblGrid>
      <w:tr w:rsidR="00000000">
        <w:trPr>
          <w:divId w:val="1699889079"/>
          <w:jc w:val="center"/>
        </w:trPr>
        <w:tc>
          <w:tcPr>
            <w:tcW w:w="175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699889079"/>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 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699889079"/>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Home</w:t>
            </w:r>
            <w:r>
              <w:rPr>
                <w:rFonts w:ascii="Arial" w:eastAsia="Times New Roman" w:hAnsi="Arial" w:cs="Arial"/>
                <w:b/>
                <w:bCs/>
              </w:rPr>
              <w:br/>
              <w:t>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Department</w:t>
            </w:r>
            <w:r>
              <w:rPr>
                <w:rFonts w:ascii="Arial" w:eastAsia="Times New Roman" w:hAnsi="Arial" w:cs="Arial"/>
                <w:b/>
                <w:bCs/>
              </w:rPr>
              <w:br/>
              <w:t>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Shopping</w:t>
            </w:r>
            <w:r>
              <w:rPr>
                <w:rFonts w:ascii="Arial" w:eastAsia="Times New Roman" w:hAnsi="Arial" w:cs="Arial"/>
                <w:b/>
                <w:bCs/>
              </w:rPr>
              <w:br/>
              <w:t>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Financial</w:t>
            </w:r>
            <w:r>
              <w:rPr>
                <w:rFonts w:ascii="Arial" w:eastAsia="Times New Roman" w:hAnsi="Arial" w:cs="Arial"/>
                <w:b/>
                <w:bCs/>
              </w:rPr>
              <w:br/>
              <w:t>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Othe</w:t>
            </w:r>
            <w:r>
              <w:rPr>
                <w:rFonts w:ascii="Arial" w:eastAsia="Times New Roman" w:hAnsi="Arial" w:cs="Arial"/>
                <w:b/>
                <w:bCs/>
              </w:rPr>
              <w:t>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699889079"/>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699889079"/>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99889079"/>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99889079"/>
          <w:jc w:val="center"/>
        </w:trPr>
        <w:tc>
          <w:tcPr>
            <w:tcW w:w="0" w:type="auto"/>
            <w:hideMark/>
          </w:tcPr>
          <w:p w:rsidR="00000000" w:rsidRDefault="003E5AFF">
            <w:pPr>
              <w:pStyle w:val="NormalWeb"/>
              <w:ind w:left="240" w:hanging="240"/>
            </w:pPr>
            <w:r>
              <w:rPr>
                <w:rFonts w:ascii="Arial" w:hAnsi="Arial" w:cs="Arial"/>
              </w:rPr>
              <w:t>Adjusted EBITDA(1)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99889079"/>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699889079"/>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99889079"/>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_Business_Our Business_ for a description of our _Other_ segment. </w:t>
            </w:r>
          </w:p>
        </w:tc>
      </w:tr>
    </w:tbl>
    <w:p w:rsidR="00000000" w:rsidRDefault="003E5AFF">
      <w:pPr>
        <w:pStyle w:val="NormalWeb"/>
        <w:spacing w:before="0" w:beforeAutospacing="0" w:after="0" w:afterAutospacing="0"/>
        <w:divId w:val="1699889079"/>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99889079"/>
        </w:trPr>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240" w:beforeAutospacing="0" w:after="0" w:afterAutospacing="0"/>
        <w:divId w:val="1699889079"/>
      </w:pPr>
      <w:r>
        <w:rPr>
          <w:rFonts w:ascii="Arial" w:hAnsi="Arial" w:cs="Arial"/>
          <w:b/>
          <w:bCs/>
          <w:sz w:val="24"/>
          <w:szCs w:val="24"/>
        </w:rPr>
        <w:t xml:space="preserve">Our strengths </w:t>
      </w:r>
    </w:p>
    <w:p w:rsidR="00000000" w:rsidRDefault="003E5AFF">
      <w:pPr>
        <w:pStyle w:val="NormalWeb"/>
        <w:spacing w:before="120" w:beforeAutospacing="0" w:after="0" w:afterAutospacing="0"/>
        <w:divId w:val="1699889079"/>
      </w:pPr>
      <w:r>
        <w:rPr>
          <w:rFonts w:ascii="Arial" w:hAnsi="Arial" w:cs="Arial"/>
        </w:rPr>
        <w:t xml:space="preserve">We believe that our primary business strengths are the following: </w:t>
      </w:r>
    </w:p>
    <w:p w:rsidR="00000000" w:rsidRDefault="003E5AFF">
      <w:pPr>
        <w:pStyle w:val="NormalWeb"/>
        <w:spacing w:before="120" w:beforeAutospacing="0" w:after="0" w:afterAutospacing="0"/>
        <w:divId w:val="1699889079"/>
      </w:pPr>
      <w:r>
        <w:rPr>
          <w:rFonts w:ascii="Arial" w:hAnsi="Arial" w:cs="Arial"/>
          <w:i/>
          <w:iCs/>
        </w:rPr>
        <w:t>Pan-regional market leader</w:t>
      </w:r>
      <w:r>
        <w:rPr>
          <w:rFonts w:ascii="Arial" w:hAnsi="Arial" w:cs="Arial"/>
        </w:rPr>
        <w:t>.    We believe we are a leading multi-format retailer in South America, based on revenues, selling space, number of stores and gross leasable area. Our operations</w:t>
      </w:r>
      <w:r>
        <w:rPr>
          <w:rFonts w:ascii="Arial" w:hAnsi="Arial" w:cs="Arial"/>
        </w:rPr>
        <w:t xml:space="preserve"> cover the region_s largest markets in terms of population and Gross Domestic Product </w:t>
      </w:r>
    </w:p>
    <w:p w:rsidR="00000000" w:rsidRDefault="003E5AFF">
      <w:pPr>
        <w:pStyle w:val="NormalWeb"/>
        <w:spacing w:before="0" w:beforeAutospacing="0" w:after="0" w:afterAutospacing="0"/>
        <w:divId w:val="1699889079"/>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- 7 - </w:t>
      </w:r>
    </w:p>
    <w:p w:rsidR="00000000" w:rsidRDefault="003E5AFF">
      <w:pPr>
        <w:rPr>
          <w:rFonts w:eastAsia="Times New Roman" w:cs="Times New Roman"/>
        </w:rPr>
      </w:pPr>
      <w:r>
        <w:rPr>
          <w:rFonts w:eastAsia="Times New Roman" w:cs="Times New Roman"/>
        </w:rPr>
        <w:pict>
          <v:rect id="_x0000_i1041" style="width:441.9pt;height:3pt" o:hralign="center" o:hrstd="t" o:hrnoshade="t" o:hr="t" fillcolor="#999" stroked="f"/>
        </w:pict>
      </w:r>
    </w:p>
    <w:p w:rsidR="00000000" w:rsidRDefault="003E5AFF">
      <w:pPr>
        <w:pStyle w:val="Heading5"/>
        <w:rPr>
          <w:rFonts w:eastAsia="Times New Roman" w:cs="Times New Roman"/>
        </w:rPr>
      </w:pPr>
      <w:hyperlink r:id="rId5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divId w:val="899173419"/>
      </w:pPr>
      <w:r>
        <w:rPr>
          <w:rFonts w:ascii="Arial" w:hAnsi="Arial" w:cs="Arial"/>
        </w:rPr>
        <w:t>(_GDP_) such as Chile, Argentina, Brazil, Peru and Colombia. We believe our presence in several markets reduces our dependence on any one m</w:t>
      </w:r>
      <w:r>
        <w:rPr>
          <w:rFonts w:ascii="Arial" w:hAnsi="Arial" w:cs="Arial"/>
        </w:rPr>
        <w:t>arket and helps mitigate the impact of any individual country_s economic cycle on our operations. The majority of our operations are concentrated in countries that are highly rated by major credit rating agencies _ Chile, Brazil, Peru and Colombia. These c</w:t>
      </w:r>
      <w:r>
        <w:rPr>
          <w:rFonts w:ascii="Arial" w:hAnsi="Arial" w:cs="Arial"/>
        </w:rPr>
        <w:t>ountries, in addition to Argentina, have experienced a strong macroeconomic recovery since 2009. Based on our current market share participation and our ability to successfully open and acquire stores in various countries, we believe we are well positioned</w:t>
      </w:r>
      <w:r>
        <w:rPr>
          <w:rFonts w:ascii="Arial" w:hAnsi="Arial" w:cs="Arial"/>
        </w:rPr>
        <w:t xml:space="preserve"> to capitalize on their future growth potential. </w:t>
      </w:r>
    </w:p>
    <w:p w:rsidR="00000000" w:rsidRDefault="003E5AFF">
      <w:pPr>
        <w:pStyle w:val="NormalWeb"/>
        <w:spacing w:before="120" w:beforeAutospacing="0" w:after="0" w:afterAutospacing="0"/>
        <w:divId w:val="899173419"/>
      </w:pPr>
      <w:r>
        <w:rPr>
          <w:rFonts w:ascii="Arial" w:hAnsi="Arial" w:cs="Arial"/>
          <w:i/>
          <w:iCs/>
        </w:rPr>
        <w:t>We operate in a region with favorable demographics</w:t>
      </w:r>
      <w:r>
        <w:rPr>
          <w:rFonts w:ascii="Arial" w:hAnsi="Arial" w:cs="Arial"/>
        </w:rPr>
        <w:t>.    We benefit from South America_s growing populations and improving socio-economic conditions of the countries where we operate. Based on data from the I</w:t>
      </w:r>
      <w:r>
        <w:rPr>
          <w:rFonts w:ascii="Arial" w:hAnsi="Arial" w:cs="Arial"/>
        </w:rPr>
        <w:t>nternational Monetary Fund, we operate in a market of approximately 331 million people in 2011 with an expected annual growth rate of 1.0% from 2010 to 2015, compared to 1.0% for the United States and 0.2% for Western Europe. Additionally, we believe the s</w:t>
      </w:r>
      <w:r>
        <w:rPr>
          <w:rFonts w:ascii="Arial" w:hAnsi="Arial" w:cs="Arial"/>
        </w:rPr>
        <w:t xml:space="preserve">ustained macroeconomic growth and increasing disposable income in these countries has resulted in an unprecedented shift in socio-economic classes and a significant reduction in poverty levels. For example, according to </w:t>
      </w:r>
      <w:r>
        <w:rPr>
          <w:rFonts w:ascii="Arial" w:hAnsi="Arial" w:cs="Arial"/>
          <w:i/>
          <w:iCs/>
        </w:rPr>
        <w:t>La Encuesta de Caracterizaci_n Socio</w:t>
      </w:r>
      <w:r>
        <w:rPr>
          <w:rFonts w:ascii="Arial" w:hAnsi="Arial" w:cs="Arial"/>
          <w:i/>
          <w:iCs/>
        </w:rPr>
        <w:t>econ_mica Nacional</w:t>
      </w:r>
      <w:r>
        <w:rPr>
          <w:rFonts w:ascii="Arial" w:hAnsi="Arial" w:cs="Arial"/>
        </w:rPr>
        <w:t xml:space="preserve"> (The National Socio-economic Survey for Chile, or _CASEN_), the percentage of people living below the poverty level in Chile has decreased from 39% in 1990 to 15% in 2009, and according to Euromonitor, Brazil has the fifth largest middle</w:t>
      </w:r>
      <w:r>
        <w:rPr>
          <w:rFonts w:ascii="Arial" w:hAnsi="Arial" w:cs="Arial"/>
        </w:rPr>
        <w:t xml:space="preserve">-class globally, with 32.4 million households as of December 31, 2011. </w:t>
      </w:r>
    </w:p>
    <w:p w:rsidR="00000000" w:rsidRDefault="003E5AFF">
      <w:pPr>
        <w:pStyle w:val="NormalWeb"/>
        <w:spacing w:before="120" w:beforeAutospacing="0" w:after="0" w:afterAutospacing="0"/>
        <w:divId w:val="899173419"/>
      </w:pPr>
      <w:r>
        <w:rPr>
          <w:rFonts w:ascii="Arial" w:hAnsi="Arial" w:cs="Arial"/>
          <w:i/>
          <w:iCs/>
        </w:rPr>
        <w:t>Well-recognized brand portfolio</w:t>
      </w:r>
      <w:r>
        <w:rPr>
          <w:rFonts w:ascii="Arial" w:hAnsi="Arial" w:cs="Arial"/>
        </w:rPr>
        <w:t xml:space="preserve">.    We offer a wide variety of leading products with recognized </w:t>
      </w:r>
      <w:r>
        <w:rPr>
          <w:rFonts w:ascii="Arial" w:hAnsi="Arial" w:cs="Arial"/>
        </w:rPr>
        <w:t>brand names, such as Jumbo, Paris, Easy, Gbarbosa, Bretas, Prezunic, Wong, Metro and Disco, which are associated with diverse consumption patterns, convenience, personalized customer service, broad product assortment and affordable prices. Our well-known b</w:t>
      </w:r>
      <w:r>
        <w:rPr>
          <w:rFonts w:ascii="Arial" w:hAnsi="Arial" w:cs="Arial"/>
        </w:rPr>
        <w:t xml:space="preserve">rand names, supported by in-store and out-of-store advertising, have enabled us to reach a wide range of consumer segments. </w:t>
      </w:r>
    </w:p>
    <w:p w:rsidR="00000000" w:rsidRDefault="003E5AFF">
      <w:pPr>
        <w:pStyle w:val="NormalWeb"/>
        <w:spacing w:before="120" w:beforeAutospacing="0" w:after="0" w:afterAutospacing="0"/>
        <w:divId w:val="899173419"/>
      </w:pPr>
      <w:r>
        <w:rPr>
          <w:rFonts w:ascii="Arial" w:hAnsi="Arial" w:cs="Arial"/>
          <w:i/>
          <w:iCs/>
        </w:rPr>
        <w:t>Integrated multi-format strategy</w:t>
      </w:r>
      <w:r>
        <w:rPr>
          <w:rFonts w:ascii="Arial" w:hAnsi="Arial" w:cs="Arial"/>
        </w:rPr>
        <w:t>.    Originally focused on supermarkets, our anchor format representing 74.5% of our sales as of Ma</w:t>
      </w:r>
      <w:r>
        <w:rPr>
          <w:rFonts w:ascii="Arial" w:hAnsi="Arial" w:cs="Arial"/>
        </w:rPr>
        <w:t>rch 31, 2012, we have developed a multi-format strategy that has allowed us to expand our customer reach by offering various combinations of product, price, quality and service according to our customer needs in each country and city where we operate. This</w:t>
      </w:r>
      <w:r>
        <w:rPr>
          <w:rFonts w:ascii="Arial" w:hAnsi="Arial" w:cs="Arial"/>
        </w:rPr>
        <w:t xml:space="preserve"> strategy has been a key factor in achieving sustained operating and financial growth. Furthermore, our continuous efforts on maximizing operational efficiency across countries and retail segments has enabled us to maximize the synergistic potential of our</w:t>
      </w:r>
      <w:r>
        <w:rPr>
          <w:rFonts w:ascii="Arial" w:hAnsi="Arial" w:cs="Arial"/>
        </w:rPr>
        <w:t xml:space="preserve"> operations and, at the same time, sustain our operating margins and generate strong cash flow generation. </w:t>
      </w:r>
    </w:p>
    <w:p w:rsidR="00000000" w:rsidRDefault="003E5AFF">
      <w:pPr>
        <w:pStyle w:val="NormalWeb"/>
        <w:spacing w:before="120" w:beforeAutospacing="0" w:after="0" w:afterAutospacing="0"/>
        <w:divId w:val="899173419"/>
      </w:pPr>
      <w:r>
        <w:rPr>
          <w:rFonts w:ascii="Arial" w:hAnsi="Arial" w:cs="Arial"/>
          <w:i/>
          <w:iCs/>
        </w:rPr>
        <w:t>Proven track record in successfully integrating acquisitions</w:t>
      </w:r>
      <w:r>
        <w:rPr>
          <w:rFonts w:ascii="Arial" w:hAnsi="Arial" w:cs="Arial"/>
        </w:rPr>
        <w:t>.    We have a proven track record of acquiring and successfully integrating companies i</w:t>
      </w:r>
      <w:r>
        <w:rPr>
          <w:rFonts w:ascii="Arial" w:hAnsi="Arial" w:cs="Arial"/>
        </w:rPr>
        <w:t>nto our regional platform. We typically keep the brand name, the key personnel and the local customs and traditions of acquired companies, and focus on (i) improving aspects which we believe can be upgraded, such as technology, operations management, and q</w:t>
      </w:r>
      <w:r>
        <w:rPr>
          <w:rFonts w:ascii="Arial" w:hAnsi="Arial" w:cs="Arial"/>
        </w:rPr>
        <w:t>uality of service, and (ii) exploiting economies of scale and scope derived from integrating the newly acquired operations into the existing regional platform. During the last five years, we have made eight acquisitions for more than US$2.2 billion that ha</w:t>
      </w:r>
      <w:r>
        <w:rPr>
          <w:rFonts w:ascii="Arial" w:hAnsi="Arial" w:cs="Arial"/>
        </w:rPr>
        <w:t xml:space="preserve">ve significantly increased the size and geographic footprint of our operations. </w:t>
      </w:r>
    </w:p>
    <w:p w:rsidR="00000000" w:rsidRDefault="003E5AFF">
      <w:pPr>
        <w:pStyle w:val="NormalWeb"/>
        <w:spacing w:before="0" w:beforeAutospacing="0" w:after="0" w:afterAutospacing="0"/>
        <w:divId w:val="899173419"/>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- 8 - </w:t>
      </w:r>
    </w:p>
    <w:p w:rsidR="00000000" w:rsidRDefault="003E5AFF">
      <w:pPr>
        <w:rPr>
          <w:rFonts w:eastAsia="Times New Roman" w:cs="Times New Roman"/>
        </w:rPr>
      </w:pPr>
      <w:r>
        <w:rPr>
          <w:rFonts w:eastAsia="Times New Roman" w:cs="Times New Roman"/>
        </w:rPr>
        <w:pict>
          <v:rect id="_x0000_i1042" style="width:441.9pt;height:3pt" o:hralign="center" o:hrstd="t" o:hrnoshade="t" o:hr="t" fillcolor="#999" stroked="f"/>
        </w:pict>
      </w:r>
    </w:p>
    <w:p w:rsidR="00000000" w:rsidRDefault="003E5AFF">
      <w:pPr>
        <w:pStyle w:val="Heading5"/>
        <w:rPr>
          <w:rFonts w:eastAsia="Times New Roman" w:cs="Times New Roman"/>
        </w:rPr>
      </w:pPr>
      <w:hyperlink r:id="rId5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divId w:val="260527807"/>
      </w:pPr>
      <w:r>
        <w:rPr>
          <w:rFonts w:ascii="Arial" w:hAnsi="Arial" w:cs="Arial"/>
          <w:i/>
          <w:iCs/>
        </w:rPr>
        <w:t>Experienced management team and lead shareholder</w:t>
      </w:r>
      <w:r>
        <w:rPr>
          <w:rFonts w:ascii="Arial" w:hAnsi="Arial" w:cs="Arial"/>
        </w:rPr>
        <w:t>.    Our senior management team is led by Mr. </w:t>
      </w:r>
      <w:r>
        <w:rPr>
          <w:rFonts w:ascii="Arial" w:hAnsi="Arial" w:cs="Arial"/>
        </w:rPr>
        <w:t>Horst Paulmann Kemna, our Chairman of the Board, founder and controlling shareholder (the _Controlling Shareholder_), who has been with Cencosud for more than 35 years, and Mr. Daniel Rodr_guez, our Chief Executive Officer. The experience and commitment of</w:t>
      </w:r>
      <w:r>
        <w:rPr>
          <w:rFonts w:ascii="Arial" w:hAnsi="Arial" w:cs="Arial"/>
        </w:rPr>
        <w:t xml:space="preserve"> our senior management team has been a critical component in the international growth of our operations as well as the continuing enhancement of our operational and financial performance. </w:t>
      </w:r>
    </w:p>
    <w:p w:rsidR="00000000" w:rsidRDefault="003E5AFF">
      <w:pPr>
        <w:pStyle w:val="NormalWeb"/>
        <w:spacing w:before="240" w:beforeAutospacing="0" w:after="0" w:afterAutospacing="0"/>
        <w:divId w:val="260527807"/>
      </w:pPr>
      <w:r>
        <w:rPr>
          <w:rFonts w:ascii="Arial" w:hAnsi="Arial" w:cs="Arial"/>
          <w:b/>
          <w:bCs/>
          <w:sz w:val="24"/>
          <w:szCs w:val="24"/>
        </w:rPr>
        <w:t xml:space="preserve">Our history </w:t>
      </w:r>
    </w:p>
    <w:p w:rsidR="00000000" w:rsidRDefault="003E5AFF">
      <w:pPr>
        <w:pStyle w:val="NormalWeb"/>
        <w:spacing w:before="120" w:beforeAutospacing="0" w:after="0" w:afterAutospacing="0"/>
        <w:divId w:val="260527807"/>
      </w:pPr>
      <w:r>
        <w:rPr>
          <w:rFonts w:ascii="Arial" w:hAnsi="Arial" w:cs="Arial"/>
        </w:rPr>
        <w:t>We have over 35 years of history in Latin America, dat</w:t>
      </w:r>
      <w:r>
        <w:rPr>
          <w:rFonts w:ascii="Arial" w:hAnsi="Arial" w:cs="Arial"/>
        </w:rPr>
        <w:t>ing to the opening of one fast-food restaurant in Temuco, Chile in 1952. Under the leadership of Horst Paulmann and his family, we opened the first Jumbo hypermarket in Chile in 1976 and were incorporated as a corporation (</w:t>
      </w:r>
      <w:r>
        <w:rPr>
          <w:rFonts w:ascii="Arial" w:hAnsi="Arial" w:cs="Arial"/>
          <w:i/>
          <w:iCs/>
        </w:rPr>
        <w:t>sociedad an_nima</w:t>
      </w:r>
      <w:r>
        <w:rPr>
          <w:rFonts w:ascii="Arial" w:hAnsi="Arial" w:cs="Arial"/>
        </w:rPr>
        <w:t>), organized unde</w:t>
      </w:r>
      <w:r>
        <w:rPr>
          <w:rFonts w:ascii="Arial" w:hAnsi="Arial" w:cs="Arial"/>
        </w:rPr>
        <w:t xml:space="preserve">r the laws of Chile, on November 10, 1978. We began our international expansion in 1982 with a supermarket opening in Argentina. Throughout the next two decades, we continued to grow organically by opening new stores in a variety of formats. </w:t>
      </w:r>
    </w:p>
    <w:p w:rsidR="00000000" w:rsidRDefault="003E5AFF">
      <w:pPr>
        <w:pStyle w:val="NormalWeb"/>
        <w:spacing w:before="120" w:beforeAutospacing="0" w:after="0" w:afterAutospacing="0"/>
        <w:divId w:val="260527807"/>
      </w:pPr>
      <w:r>
        <w:rPr>
          <w:rFonts w:ascii="Arial" w:hAnsi="Arial" w:cs="Arial"/>
        </w:rPr>
        <w:t>Since then, w</w:t>
      </w:r>
      <w:r>
        <w:rPr>
          <w:rFonts w:ascii="Arial" w:hAnsi="Arial" w:cs="Arial"/>
        </w:rPr>
        <w:t>e have grown our business significantly, expanding into additional retail formats, building a financial services unit and entering new markets throughout Latin America. In the 2000s, we began to grow through acquisitions of local brands in different market</w:t>
      </w:r>
      <w:r>
        <w:rPr>
          <w:rFonts w:ascii="Arial" w:hAnsi="Arial" w:cs="Arial"/>
        </w:rPr>
        <w:t>s, consolidating and expanding such businesses to ultimately become one of the region_s leading retailers. In 2002, we made our first acquisitions, buying the Argentine-based operations of Home Depot and the Proterra stores in Chile. Building on this, on 2</w:t>
      </w:r>
      <w:r>
        <w:rPr>
          <w:rFonts w:ascii="Arial" w:hAnsi="Arial" w:cs="Arial"/>
        </w:rPr>
        <w:t>003, we acquired the supermarket chain Santa Isabel in Chile. In 2004, following our initial public offering in Chile, we acquired three new operators in Chile and Argentina and four more during the next couple of years. In 2007, we entered into Brazil, th</w:t>
      </w:r>
      <w:r>
        <w:rPr>
          <w:rFonts w:ascii="Arial" w:hAnsi="Arial" w:cs="Arial"/>
        </w:rPr>
        <w:t>e largest market in South America, by acquiring GBarbosa Holding LLC (_GBarbosa_) and in 2008 entered Peru by acquiring GSW S.A. (_Wong_). With a presence in five different countries by 2007, we began a new round of expansion in Brazil through the acquisit</w:t>
      </w:r>
      <w:r>
        <w:rPr>
          <w:rFonts w:ascii="Arial" w:hAnsi="Arial" w:cs="Arial"/>
        </w:rPr>
        <w:t xml:space="preserve">ions of Super Familia, Bretas, Perini and more recently Prezunic. </w:t>
      </w:r>
    </w:p>
    <w:p w:rsidR="00000000" w:rsidRDefault="003E5AFF">
      <w:pPr>
        <w:pStyle w:val="NormalWeb"/>
        <w:spacing w:before="120" w:beforeAutospacing="0" w:after="0" w:afterAutospacing="0"/>
        <w:divId w:val="260527807"/>
      </w:pPr>
      <w:r>
        <w:rPr>
          <w:rFonts w:ascii="Arial" w:hAnsi="Arial" w:cs="Arial"/>
        </w:rPr>
        <w:t>We believe the key behind our success lies in our business philosophy of organic growth as well as selective acquisitions in the region building on our and our target_s proven success and c</w:t>
      </w:r>
      <w:r>
        <w:rPr>
          <w:rFonts w:ascii="Arial" w:hAnsi="Arial" w:cs="Arial"/>
        </w:rPr>
        <w:t>ostumer loyalty. While most retailers enter a new market trying to impose their umbrella brand and product offering, we try to preserve all of the virtues of the existing businesses we acquire, including the traditional, locally trusted brand name products</w:t>
      </w:r>
      <w:r>
        <w:rPr>
          <w:rFonts w:ascii="Arial" w:hAnsi="Arial" w:cs="Arial"/>
        </w:rPr>
        <w:t xml:space="preserve"> mix and marketing strategies. We focus our efforts only on those areas where we believe there is room for improvement, such as technology, operations management and quality service, as well as on exploiting available economies of scale and scope derived f</w:t>
      </w:r>
      <w:r>
        <w:rPr>
          <w:rFonts w:ascii="Arial" w:hAnsi="Arial" w:cs="Arial"/>
        </w:rPr>
        <w:t>rom integrating the newly acquired operations into our regional platform. Additionally, we have focused on learning and respecting our customers_ traditions while expanding the product offering, lowering prices and improving their overall shopping experien</w:t>
      </w:r>
      <w:r>
        <w:rPr>
          <w:rFonts w:ascii="Arial" w:hAnsi="Arial" w:cs="Arial"/>
        </w:rPr>
        <w:t xml:space="preserve">ce. </w:t>
      </w:r>
    </w:p>
    <w:p w:rsidR="00000000" w:rsidRDefault="003E5AFF">
      <w:pPr>
        <w:pStyle w:val="NormalWeb"/>
        <w:spacing w:before="0" w:beforeAutospacing="0" w:after="0" w:afterAutospacing="0"/>
        <w:divId w:val="260527807"/>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- 9 - </w:t>
      </w:r>
    </w:p>
    <w:p w:rsidR="00000000" w:rsidRDefault="003E5AFF">
      <w:pPr>
        <w:rPr>
          <w:rFonts w:eastAsia="Times New Roman" w:cs="Times New Roman"/>
        </w:rPr>
      </w:pPr>
      <w:r>
        <w:rPr>
          <w:rFonts w:eastAsia="Times New Roman" w:cs="Times New Roman"/>
        </w:rPr>
        <w:pict>
          <v:rect id="_x0000_i1043" style="width:441.9pt;height:3pt" o:hralign="center" o:hrstd="t" o:hrnoshade="t" o:hr="t" fillcolor="#999" stroked="f"/>
        </w:pict>
      </w:r>
    </w:p>
    <w:p w:rsidR="00000000" w:rsidRDefault="003E5AFF">
      <w:pPr>
        <w:pStyle w:val="Heading5"/>
        <w:rPr>
          <w:rFonts w:eastAsia="Times New Roman" w:cs="Times New Roman"/>
        </w:rPr>
      </w:pPr>
      <w:hyperlink r:id="rId6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divId w:val="971903010"/>
      </w:pPr>
      <w:r>
        <w:rPr>
          <w:rFonts w:ascii="Arial" w:hAnsi="Arial" w:cs="Arial"/>
          <w:b/>
          <w:bCs/>
          <w:sz w:val="24"/>
          <w:szCs w:val="24"/>
        </w:rPr>
        <w:t xml:space="preserve">Our business strategy </w:t>
      </w:r>
    </w:p>
    <w:p w:rsidR="00000000" w:rsidRDefault="003E5AFF">
      <w:pPr>
        <w:pStyle w:val="NormalWeb"/>
        <w:spacing w:before="120" w:beforeAutospacing="0" w:after="0" w:afterAutospacing="0"/>
        <w:divId w:val="971903010"/>
      </w:pPr>
      <w:r>
        <w:rPr>
          <w:rFonts w:ascii="Arial" w:hAnsi="Arial" w:cs="Arial"/>
        </w:rPr>
        <w:t>We aim to leverage our competitive strengths across our formats and business units to become one of the most profitable Latin American retailers by providing our customers with a superior shopping experience. We plan to accomplish our objectives by focusin</w:t>
      </w:r>
      <w:r>
        <w:rPr>
          <w:rFonts w:ascii="Arial" w:hAnsi="Arial" w:cs="Arial"/>
        </w:rPr>
        <w:t xml:space="preserve">g on the following: </w:t>
      </w:r>
    </w:p>
    <w:p w:rsidR="00000000" w:rsidRDefault="003E5AFF">
      <w:pPr>
        <w:pStyle w:val="NormalWeb"/>
        <w:spacing w:before="120" w:beforeAutospacing="0" w:after="0" w:afterAutospacing="0"/>
        <w:ind w:left="476"/>
        <w:divId w:val="971903010"/>
      </w:pPr>
      <w:r>
        <w:rPr>
          <w:rFonts w:ascii="Arial" w:hAnsi="Arial" w:cs="Arial"/>
          <w:i/>
          <w:iCs/>
        </w:rPr>
        <w:t>Continue to develop and expand our multi-format and multi-brand approach</w:t>
      </w:r>
      <w:r>
        <w:rPr>
          <w:rFonts w:ascii="Arial" w:hAnsi="Arial" w:cs="Arial"/>
        </w:rPr>
        <w:t>.    We believe that our integrated multi-format business model allows us to drive customer traffic in our stores and materialize synergies across our different bu</w:t>
      </w:r>
      <w:r>
        <w:rPr>
          <w:rFonts w:ascii="Arial" w:hAnsi="Arial" w:cs="Arial"/>
        </w:rPr>
        <w:t>siness units. Currently we only operate department stores in Chile and we only operate home improvement stores in Argentina, Chile and Colombia. We will continue to develop and expand new formats in our key markets seeking to capture a greater share of the</w:t>
      </w:r>
      <w:r>
        <w:rPr>
          <w:rFonts w:ascii="Arial" w:hAnsi="Arial" w:cs="Arial"/>
        </w:rPr>
        <w:t xml:space="preserve"> disposable income of our customer base. </w:t>
      </w:r>
    </w:p>
    <w:p w:rsidR="00000000" w:rsidRDefault="003E5AFF">
      <w:pPr>
        <w:pStyle w:val="NormalWeb"/>
        <w:spacing w:before="120" w:beforeAutospacing="0" w:after="0" w:afterAutospacing="0"/>
        <w:ind w:left="476"/>
        <w:divId w:val="971903010"/>
      </w:pPr>
      <w:r>
        <w:rPr>
          <w:rFonts w:ascii="Arial" w:hAnsi="Arial" w:cs="Arial"/>
          <w:i/>
          <w:iCs/>
        </w:rPr>
        <w:t>Focus on operating margins and cash flows.    </w:t>
      </w:r>
      <w:r>
        <w:rPr>
          <w:rFonts w:ascii="Arial" w:hAnsi="Arial" w:cs="Arial"/>
        </w:rPr>
        <w:t>We are focused on streamlining distribution and back-office capabilities and improving operating efficiencies, seeking to improve our profitability and cash flow genera</w:t>
      </w:r>
      <w:r>
        <w:rPr>
          <w:rFonts w:ascii="Arial" w:hAnsi="Arial" w:cs="Arial"/>
        </w:rPr>
        <w:t>tion. Our emphasis on financial discipline has successfully allowed us to maintain high debt ratings while implementing our capital expenditure and expansion plan with sufficient flexibility to rapidly adapt and react to new opportunities and market dynami</w:t>
      </w:r>
      <w:r>
        <w:rPr>
          <w:rFonts w:ascii="Arial" w:hAnsi="Arial" w:cs="Arial"/>
        </w:rPr>
        <w:t xml:space="preserve">cs. </w:t>
      </w:r>
    </w:p>
    <w:p w:rsidR="00000000" w:rsidRDefault="003E5AFF">
      <w:pPr>
        <w:pStyle w:val="NormalWeb"/>
        <w:spacing w:before="120" w:beforeAutospacing="0" w:after="0" w:afterAutospacing="0"/>
        <w:ind w:left="476"/>
        <w:divId w:val="971903010"/>
      </w:pPr>
      <w:r>
        <w:rPr>
          <w:rFonts w:ascii="Arial" w:hAnsi="Arial" w:cs="Arial"/>
          <w:i/>
          <w:iCs/>
        </w:rPr>
        <w:t>Expand through growth in selective markets</w:t>
      </w:r>
      <w:r>
        <w:rPr>
          <w:rFonts w:ascii="Arial" w:hAnsi="Arial" w:cs="Arial"/>
        </w:rPr>
        <w:t xml:space="preserve">.    We believe we have significant opportunities to increase our presence and market share in those countries that we believe offer the best growth prospects, particularly Brazil and Peru. We believe that we </w:t>
      </w:r>
      <w:r>
        <w:rPr>
          <w:rFonts w:ascii="Arial" w:hAnsi="Arial" w:cs="Arial"/>
        </w:rPr>
        <w:t>have a solid foundation for continued growth, due to our focus on improving profitability, our store openings track record and our leading position based on revenues, selling space, number of stores and gross leasable area based on our market position in t</w:t>
      </w:r>
      <w:r>
        <w:rPr>
          <w:rFonts w:ascii="Arial" w:hAnsi="Arial" w:cs="Arial"/>
        </w:rPr>
        <w:t xml:space="preserve">he sectors and countries in which we operate. The ranking methodology we use to calculate our market position is summarized in _Industry Overview &amp; Competition_ in this prospectus. We intend to leverage on our strong brand recognition, integrated business </w:t>
      </w:r>
      <w:r>
        <w:rPr>
          <w:rFonts w:ascii="Arial" w:hAnsi="Arial" w:cs="Arial"/>
        </w:rPr>
        <w:t xml:space="preserve">model and multi-format experience. </w:t>
      </w:r>
    </w:p>
    <w:p w:rsidR="00000000" w:rsidRDefault="003E5AFF">
      <w:pPr>
        <w:pStyle w:val="NormalWeb"/>
        <w:spacing w:before="120" w:beforeAutospacing="0" w:after="0" w:afterAutospacing="0"/>
        <w:ind w:left="476"/>
        <w:divId w:val="971903010"/>
      </w:pPr>
      <w:r>
        <w:rPr>
          <w:rFonts w:ascii="Arial" w:hAnsi="Arial" w:cs="Arial"/>
          <w:i/>
          <w:iCs/>
        </w:rPr>
        <w:t>Continue to pursue opportunistic acquisitions while maximizing synergies.    </w:t>
      </w:r>
      <w:r>
        <w:rPr>
          <w:rFonts w:ascii="Arial" w:hAnsi="Arial" w:cs="Arial"/>
        </w:rPr>
        <w:t>We believe that further opportunities exist to gain scale and access to attractive locations and strong local brands through opportunistic acqu</w:t>
      </w:r>
      <w:r>
        <w:rPr>
          <w:rFonts w:ascii="Arial" w:hAnsi="Arial" w:cs="Arial"/>
        </w:rPr>
        <w:t>isitions in key markets. We intend to seek a successful integration of all of our acquisitions expecting that these will facilitate our ability to implement synergies in purchasing, supply chain, marketing, back-office operations, technology and infrastruc</w:t>
      </w:r>
      <w:r>
        <w:rPr>
          <w:rFonts w:ascii="Arial" w:hAnsi="Arial" w:cs="Arial"/>
        </w:rPr>
        <w:t xml:space="preserve">ture. We expect to focus our efforts in expanding our presence in our core markets, particularly in Peru and Brazil, gaining access to key locations and strong local brands in our target markets. </w:t>
      </w:r>
    </w:p>
    <w:p w:rsidR="00000000" w:rsidRDefault="003E5AFF">
      <w:pPr>
        <w:pStyle w:val="NormalWeb"/>
        <w:spacing w:before="120" w:beforeAutospacing="0" w:after="0" w:afterAutospacing="0"/>
        <w:ind w:left="476"/>
        <w:divId w:val="971903010"/>
      </w:pPr>
      <w:r>
        <w:rPr>
          <w:rFonts w:ascii="Arial" w:hAnsi="Arial" w:cs="Arial"/>
          <w:i/>
          <w:iCs/>
        </w:rPr>
        <w:t>Enhance customer loyalty.    </w:t>
      </w:r>
      <w:r>
        <w:rPr>
          <w:rFonts w:ascii="Arial" w:hAnsi="Arial" w:cs="Arial"/>
        </w:rPr>
        <w:t>We intend to increase our shar</w:t>
      </w:r>
      <w:r>
        <w:rPr>
          <w:rFonts w:ascii="Arial" w:hAnsi="Arial" w:cs="Arial"/>
        </w:rPr>
        <w:t>e of our customers_ total retail spending by offering a combination of competitive prices, quality products, convenient locations, personalized service and an attractive _one-stop_ shopping environment. We seek to deliver a comprehensive shopping experienc</w:t>
      </w:r>
      <w:r>
        <w:rPr>
          <w:rFonts w:ascii="Arial" w:hAnsi="Arial" w:cs="Arial"/>
        </w:rPr>
        <w:t xml:space="preserve">e and we aim to successfully fulfill our customers_ needs through our multi-format approach, diversified product mix, innovative marketing and pricing and complementary consumer finance services. </w:t>
      </w:r>
    </w:p>
    <w:p w:rsidR="00000000" w:rsidRDefault="003E5AFF">
      <w:pPr>
        <w:pStyle w:val="NormalWeb"/>
        <w:spacing w:before="0" w:beforeAutospacing="0" w:after="0" w:afterAutospacing="0"/>
        <w:divId w:val="971903010"/>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- 10 - </w:t>
      </w:r>
    </w:p>
    <w:p w:rsidR="00000000" w:rsidRDefault="003E5AFF">
      <w:pPr>
        <w:rPr>
          <w:rFonts w:eastAsia="Times New Roman" w:cs="Times New Roman"/>
        </w:rPr>
      </w:pPr>
      <w:r>
        <w:rPr>
          <w:rFonts w:eastAsia="Times New Roman" w:cs="Times New Roman"/>
        </w:rPr>
        <w:pict>
          <v:rect id="_x0000_i1044" style="width:441.9pt;height:3pt" o:hralign="center" o:hrstd="t" o:hrnoshade="t" o:hr="t" fillcolor="#999" stroked="f"/>
        </w:pict>
      </w:r>
    </w:p>
    <w:p w:rsidR="00000000" w:rsidRDefault="003E5AFF">
      <w:pPr>
        <w:pStyle w:val="Heading5"/>
        <w:rPr>
          <w:rFonts w:eastAsia="Times New Roman" w:cs="Times New Roman"/>
        </w:rPr>
      </w:pPr>
      <w:hyperlink r:id="rId6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divId w:val="650982196"/>
      </w:pPr>
      <w:r>
        <w:rPr>
          <w:rFonts w:ascii="Arial" w:hAnsi="Arial" w:cs="Arial"/>
          <w:b/>
          <w:bCs/>
          <w:sz w:val="24"/>
          <w:szCs w:val="24"/>
        </w:rPr>
        <w:t xml:space="preserve">Risks related to our business </w:t>
      </w:r>
    </w:p>
    <w:p w:rsidR="00000000" w:rsidRDefault="003E5AFF">
      <w:pPr>
        <w:pStyle w:val="NormalWeb"/>
        <w:spacing w:before="120" w:beforeAutospacing="0" w:after="0" w:afterAutospacing="0"/>
        <w:divId w:val="650982196"/>
      </w:pPr>
      <w:r>
        <w:rPr>
          <w:rFonts w:ascii="Arial" w:hAnsi="Arial" w:cs="Arial"/>
        </w:rPr>
        <w:t>Investing in our shares of common stock or ADSs involves substantial risk, including those risks described under the heading _Risk Factors_ immediately following this summary. Our ability to execute our business strategy is also subject to significant risk</w:t>
      </w:r>
      <w:r>
        <w:rPr>
          <w:rFonts w:ascii="Arial" w:hAnsi="Arial" w:cs="Arial"/>
        </w:rPr>
        <w:t>s. Risks related to our business include, but are not limited to, intense competition in each of our markets; increasing competition from internet sales; rapid consolidation of the markets in which we operate; our ability to expand our business through acq</w:t>
      </w:r>
      <w:r>
        <w:rPr>
          <w:rFonts w:ascii="Arial" w:hAnsi="Arial" w:cs="Arial"/>
        </w:rPr>
        <w:t>uisitions, including our ability to obtain the capital we need for further expansion; the sensitivity of our operating income to fluctuations in the cost of the products we sell; the seasonality of our retail results; the impact of economic downturns on co</w:t>
      </w:r>
      <w:r>
        <w:rPr>
          <w:rFonts w:ascii="Arial" w:hAnsi="Arial" w:cs="Arial"/>
        </w:rPr>
        <w:t>nsumer spending; the availability of attractive real estate locations at reasonable prices; increased credit and financial risks associated with our credit card and banking operations. We also face risks related to complex regulations and changes in laws a</w:t>
      </w:r>
      <w:r>
        <w:rPr>
          <w:rFonts w:ascii="Arial" w:hAnsi="Arial" w:cs="Arial"/>
        </w:rPr>
        <w:t>pplicable to our business, including antitrust laws which could limit our ability to expand our business through acquisitions or joint ventures. Before you invest in our shares of common stock or ADSs, you should carefully consider all the information in t</w:t>
      </w:r>
      <w:r>
        <w:rPr>
          <w:rFonts w:ascii="Arial" w:hAnsi="Arial" w:cs="Arial"/>
        </w:rPr>
        <w:t xml:space="preserve">his prospectus including matters set forth under the heading _Risk Factors._ </w:t>
      </w:r>
    </w:p>
    <w:p w:rsidR="00000000" w:rsidRDefault="003E5AFF">
      <w:pPr>
        <w:pStyle w:val="NormalWeb"/>
        <w:spacing w:before="240" w:beforeAutospacing="0" w:after="0" w:afterAutospacing="0"/>
        <w:divId w:val="650982196"/>
      </w:pPr>
      <w:r>
        <w:rPr>
          <w:rFonts w:ascii="Arial" w:hAnsi="Arial" w:cs="Arial"/>
          <w:b/>
          <w:bCs/>
          <w:sz w:val="24"/>
          <w:szCs w:val="24"/>
        </w:rPr>
        <w:t xml:space="preserve">Recent developments </w:t>
      </w:r>
    </w:p>
    <w:p w:rsidR="00000000" w:rsidRDefault="003E5AFF">
      <w:pPr>
        <w:pStyle w:val="NormalWeb"/>
        <w:spacing w:before="120" w:beforeAutospacing="0" w:after="0" w:afterAutospacing="0"/>
        <w:divId w:val="650982196"/>
      </w:pPr>
      <w:r>
        <w:rPr>
          <w:rFonts w:ascii="Arial" w:hAnsi="Arial" w:cs="Arial"/>
          <w:b/>
          <w:bCs/>
          <w:i/>
          <w:iCs/>
        </w:rPr>
        <w:t xml:space="preserve">Closing of J.P. Morgan credit facility </w:t>
      </w:r>
    </w:p>
    <w:p w:rsidR="00000000" w:rsidRDefault="003E5AFF">
      <w:pPr>
        <w:pStyle w:val="NormalWeb"/>
        <w:spacing w:before="120" w:beforeAutospacing="0" w:after="0" w:afterAutospacing="0"/>
        <w:divId w:val="650982196"/>
      </w:pPr>
      <w:r>
        <w:rPr>
          <w:rFonts w:ascii="Arial" w:hAnsi="Arial" w:cs="Arial"/>
        </w:rPr>
        <w:t>On April 27, 2012, we entered into a U.S.$750 million committed credit facility with J.P. Morgan Chase National Assoc</w:t>
      </w:r>
      <w:r>
        <w:rPr>
          <w:rFonts w:ascii="Arial" w:hAnsi="Arial" w:cs="Arial"/>
        </w:rPr>
        <w:t>iation, an affiliate of J.P. Morgan Securities LLC (_J.P. Morgan_), Morgan Stanley Bank, N.A., an affiliate of Morgan Stanley &amp; Co. LLC (_Morgan Stanley_), The Bank of Tokyo _ Mitsubishi UFJ, Ltd. and Mizuho Corporate Bank Ltd., as lenders, (the _J.P. Morg</w:t>
      </w:r>
      <w:r>
        <w:rPr>
          <w:rFonts w:ascii="Arial" w:hAnsi="Arial" w:cs="Arial"/>
        </w:rPr>
        <w:t>an Credit Facility_) in order to finance our short-term funding requirements, including capital expenditures, interest expense and tax obligations. As of May 7, 2012, amounts drawn under the J.P. Morgan Credit Facility totaled U.S.$250 million. The J.P. Mo</w:t>
      </w:r>
      <w:r>
        <w:rPr>
          <w:rFonts w:ascii="Arial" w:hAnsi="Arial" w:cs="Arial"/>
        </w:rPr>
        <w:t xml:space="preserve">rgan Credit Facility bears an interest rate of the London Interbank Offered Rate (_LIBOR_), as adjusted for statutory reserve requirements for eurocurrency liabilities, plus a margin of 1.25% for the first six months, 1.50% for the following three months, </w:t>
      </w:r>
      <w:r>
        <w:rPr>
          <w:rFonts w:ascii="Arial" w:hAnsi="Arial" w:cs="Arial"/>
        </w:rPr>
        <w:t xml:space="preserve">and 1.75% thereafter. The J.P. Morgan Credit Facility matures on March 13, 2013. </w:t>
      </w:r>
    </w:p>
    <w:p w:rsidR="00000000" w:rsidRDefault="003E5AFF">
      <w:pPr>
        <w:pStyle w:val="NormalWeb"/>
        <w:spacing w:before="240" w:beforeAutospacing="0" w:after="0" w:afterAutospacing="0"/>
        <w:divId w:val="650982196"/>
      </w:pPr>
      <w:r>
        <w:rPr>
          <w:rFonts w:ascii="Arial" w:hAnsi="Arial" w:cs="Arial"/>
          <w:b/>
          <w:bCs/>
          <w:sz w:val="24"/>
          <w:szCs w:val="24"/>
        </w:rPr>
        <w:t xml:space="preserve">Our corporate information </w:t>
      </w:r>
    </w:p>
    <w:p w:rsidR="00000000" w:rsidRDefault="003E5AFF">
      <w:pPr>
        <w:pStyle w:val="NormalWeb"/>
        <w:spacing w:before="120" w:beforeAutospacing="0" w:after="0" w:afterAutospacing="0"/>
        <w:divId w:val="650982196"/>
      </w:pPr>
      <w:r>
        <w:rPr>
          <w:rFonts w:ascii="Arial" w:hAnsi="Arial" w:cs="Arial"/>
        </w:rPr>
        <w:t>Our principal executive office is located at Av. Kennedy 9001, Piso 6, Las Condes, Santiago, Chile and our main telephone number is 56 (2) 959-0000</w:t>
      </w:r>
      <w:r>
        <w:rPr>
          <w:rFonts w:ascii="Arial" w:hAnsi="Arial" w:cs="Arial"/>
        </w:rPr>
        <w:t xml:space="preserve">. The information on our website (www.cencosud.cl) is not incorporated into this prospectus. </w:t>
      </w:r>
    </w:p>
    <w:p w:rsidR="00000000" w:rsidRDefault="003E5AFF">
      <w:pPr>
        <w:pStyle w:val="NormalWeb"/>
        <w:spacing w:before="0" w:beforeAutospacing="0" w:after="0" w:afterAutospacing="0"/>
        <w:divId w:val="650982196"/>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- 11 - </w:t>
      </w:r>
    </w:p>
    <w:p w:rsidR="00000000" w:rsidRDefault="003E5AFF">
      <w:pPr>
        <w:rPr>
          <w:rFonts w:eastAsia="Times New Roman" w:cs="Times New Roman"/>
        </w:rPr>
      </w:pPr>
      <w:r>
        <w:rPr>
          <w:rFonts w:eastAsia="Times New Roman" w:cs="Times New Roman"/>
        </w:rPr>
        <w:pict>
          <v:rect id="_x0000_i1045" style="width:441.9pt;height:3pt" o:hralign="center" o:hrstd="t" o:hrnoshade="t" o:hr="t" fillcolor="#999" stroked="f"/>
        </w:pict>
      </w:r>
    </w:p>
    <w:p w:rsidR="00000000" w:rsidRDefault="003E5AFF">
      <w:pPr>
        <w:pStyle w:val="Heading5"/>
        <w:rPr>
          <w:rFonts w:eastAsia="Times New Roman" w:cs="Times New Roman"/>
        </w:rPr>
      </w:pPr>
      <w:hyperlink r:id="rId6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divId w:val="169417002"/>
      </w:pPr>
      <w:bookmarkStart w:id="3" w:name="rom343004_2"/>
      <w:bookmarkEnd w:id="3"/>
      <w:r>
        <w:rPr>
          <w:rFonts w:ascii="Arial" w:hAnsi="Arial" w:cs="Arial"/>
          <w:b/>
          <w:bCs/>
          <w:sz w:val="36"/>
          <w:szCs w:val="36"/>
        </w:rPr>
        <w:t xml:space="preserve">The offering </w:t>
      </w:r>
    </w:p>
    <w:p w:rsidR="00000000" w:rsidRDefault="003E5AFF">
      <w:pPr>
        <w:pStyle w:val="NormalWeb"/>
        <w:spacing w:before="120" w:beforeAutospacing="0" w:after="0" w:afterAutospacing="0"/>
        <w:divId w:val="169417002"/>
      </w:pPr>
      <w:r>
        <w:rPr>
          <w:rFonts w:ascii="Arial" w:hAnsi="Arial" w:cs="Arial"/>
        </w:rPr>
        <w:t xml:space="preserve">The following is a brief summary of the terms of this offering. For a more complete description of our common shares and the </w:t>
      </w:r>
      <w:r>
        <w:rPr>
          <w:rFonts w:ascii="Arial" w:hAnsi="Arial" w:cs="Arial"/>
        </w:rPr>
        <w:t xml:space="preserve">ADSs, see _Description of Share Capital_ and _Description of American Depositary Receipts_ in this prospectus. </w:t>
      </w:r>
    </w:p>
    <w:p w:rsidR="00000000" w:rsidRDefault="003E5AFF">
      <w:pPr>
        <w:pStyle w:val="NormalWeb"/>
        <w:spacing w:before="0" w:beforeAutospacing="0" w:after="0" w:afterAutospacing="0"/>
        <w:divId w:val="169417002"/>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69417002"/>
        </w:trPr>
        <w:tc>
          <w:tcPr>
            <w:tcW w:w="1350" w:type="pct"/>
            <w:hideMark/>
          </w:tcPr>
          <w:p w:rsidR="00000000" w:rsidRDefault="003E5AFF">
            <w:pPr>
              <w:pStyle w:val="NormalWeb"/>
              <w:spacing w:after="15" w:afterAutospacing="0"/>
            </w:pPr>
            <w:r>
              <w:rPr>
                <w:rFonts w:ascii="Arial" w:hAnsi="Arial" w:cs="Arial"/>
                <w:b/>
                <w:bCs/>
              </w:rPr>
              <w:t xml:space="preserve">Issuer </w:t>
            </w:r>
          </w:p>
        </w:tc>
        <w:tc>
          <w:tcPr>
            <w:tcW w:w="0" w:type="auto"/>
            <w:hideMark/>
          </w:tcPr>
          <w:p w:rsidR="00000000" w:rsidRDefault="003E5AFF">
            <w:pPr>
              <w:rPr>
                <w:rFonts w:eastAsia="Times New Roman" w:cs="Times New Roman"/>
              </w:rPr>
            </w:pPr>
            <w:r>
              <w:rPr>
                <w:rFonts w:ascii="Arial" w:eastAsia="Times New Roman" w:hAnsi="Arial" w:cs="Arial"/>
              </w:rPr>
              <w:t xml:space="preserve">Cencosud S.A. </w:t>
            </w:r>
          </w:p>
        </w:tc>
      </w:tr>
    </w:tbl>
    <w:p w:rsidR="00000000" w:rsidRDefault="003E5AFF">
      <w:pPr>
        <w:pStyle w:val="NormalWeb"/>
        <w:spacing w:before="0" w:beforeAutospacing="0" w:after="0" w:afterAutospacing="0"/>
        <w:divId w:val="169417002"/>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69417002"/>
        </w:trPr>
        <w:tc>
          <w:tcPr>
            <w:tcW w:w="1350" w:type="pct"/>
            <w:hideMark/>
          </w:tcPr>
          <w:p w:rsidR="00000000" w:rsidRDefault="003E5AFF">
            <w:pPr>
              <w:pStyle w:val="NormalWeb"/>
              <w:spacing w:after="15" w:afterAutospacing="0"/>
            </w:pPr>
            <w:r>
              <w:rPr>
                <w:rFonts w:ascii="Arial" w:hAnsi="Arial" w:cs="Arial"/>
                <w:b/>
                <w:bCs/>
              </w:rPr>
              <w:t xml:space="preserve">Global Offering </w:t>
            </w:r>
          </w:p>
        </w:tc>
        <w:tc>
          <w:tcPr>
            <w:tcW w:w="0" w:type="auto"/>
            <w:hideMark/>
          </w:tcPr>
          <w:p w:rsidR="00000000" w:rsidRDefault="003E5AFF">
            <w:pPr>
              <w:rPr>
                <w:rFonts w:eastAsia="Times New Roman" w:cs="Times New Roman"/>
              </w:rPr>
            </w:pPr>
            <w:r>
              <w:rPr>
                <w:rFonts w:ascii="Arial" w:eastAsia="Times New Roman" w:hAnsi="Arial" w:cs="Arial"/>
              </w:rPr>
              <w:t xml:space="preserve">We are offering 91,304,348 shares of common stock, in the form of shares or ADSs (each ADS representing three shares of common stock), in a global offering not including shares to cover the over-allotment option described below. Of the              shares </w:t>
            </w:r>
            <w:r>
              <w:rPr>
                <w:rFonts w:ascii="Arial" w:eastAsia="Times New Roman" w:hAnsi="Arial" w:cs="Arial"/>
              </w:rPr>
              <w:t xml:space="preserve">of common stock being offered,              are being offered by the international underwriters, in the form of ADSs, in the United States and in other jurisdictions outside the United States pursuant to this prospectus, and              are being offered </w:t>
            </w:r>
            <w:r>
              <w:rPr>
                <w:rFonts w:ascii="Arial" w:eastAsia="Times New Roman" w:hAnsi="Arial" w:cs="Arial"/>
              </w:rPr>
              <w:t>by the Chilean placement agents, in the form of shares, in a concurrent offering in Chile on a best efforts basis. We refer to the offering outside Chile as the _international offering_ and to the offering in Chile as the _Chilean offering._ We refer to th</w:t>
            </w:r>
            <w:r>
              <w:rPr>
                <w:rFonts w:ascii="Arial" w:eastAsia="Times New Roman" w:hAnsi="Arial" w:cs="Arial"/>
              </w:rPr>
              <w:t xml:space="preserve">e international offering together with the Chilean offering as the _global offering._ </w:t>
            </w:r>
          </w:p>
        </w:tc>
      </w:tr>
    </w:tbl>
    <w:p w:rsidR="00000000" w:rsidRDefault="003E5AFF">
      <w:pPr>
        <w:pStyle w:val="NormalWeb"/>
        <w:spacing w:before="0" w:beforeAutospacing="0" w:after="0" w:afterAutospacing="0"/>
        <w:divId w:val="169417002"/>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69417002"/>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In addition to the global offering, we will make a separate preemptive rights offering under Chilean law for an additional 138,000,000 shares of common stock as</w:t>
            </w:r>
            <w:r>
              <w:rPr>
                <w:rFonts w:ascii="Arial" w:eastAsia="Times New Roman" w:hAnsi="Arial" w:cs="Arial"/>
              </w:rPr>
              <w:t xml:space="preserve"> described below, which we call the _preemptive rights offering._ </w:t>
            </w:r>
          </w:p>
        </w:tc>
      </w:tr>
    </w:tbl>
    <w:p w:rsidR="00000000" w:rsidRDefault="003E5AFF">
      <w:pPr>
        <w:pStyle w:val="NormalWeb"/>
        <w:spacing w:before="0" w:beforeAutospacing="0" w:after="0" w:afterAutospacing="0"/>
        <w:divId w:val="169417002"/>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69417002"/>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In order to make shares available for sale in the global offering and the over-allotment option described below, our controlling shareholder and the other members of the Paulmann </w:t>
            </w:r>
            <w:r>
              <w:rPr>
                <w:rFonts w:ascii="Arial" w:eastAsia="Times New Roman" w:hAnsi="Arial" w:cs="Arial"/>
              </w:rPr>
              <w:t>family that are waiving a portion of their preemptive rights (together with the Controlling Shareholder, the _Controlling Shareholders_), whom collectively, directly or indirectly, hold approximately 64.9% of our outstanding shares, have indicated their in</w:t>
            </w:r>
            <w:r>
              <w:rPr>
                <w:rFonts w:ascii="Arial" w:eastAsia="Times New Roman" w:hAnsi="Arial" w:cs="Arial"/>
              </w:rPr>
              <w:t>tention to waive their rights with respect to 105,000,000 shares of our common stock subject to such preemptive rights offering. However our Controlling Shareholders are not obligated to so waive. Nevertheless, the signing of the international underwriting</w:t>
            </w:r>
            <w:r>
              <w:rPr>
                <w:rFonts w:ascii="Arial" w:eastAsia="Times New Roman" w:hAnsi="Arial" w:cs="Arial"/>
              </w:rPr>
              <w:t xml:space="preserve"> agreement in respect of the international offering is conditioned on such waiver. Accordingly, the number of shares available in the global offering is contingent upon the waiver by our Controlling Shareholders of their rights with respect to such shares </w:t>
            </w:r>
            <w:r>
              <w:rPr>
                <w:rFonts w:ascii="Arial" w:eastAsia="Times New Roman" w:hAnsi="Arial" w:cs="Arial"/>
              </w:rPr>
              <w:t xml:space="preserve">that are subject to the preemptive rights offering. </w:t>
            </w:r>
          </w:p>
        </w:tc>
      </w:tr>
    </w:tbl>
    <w:p w:rsidR="00000000" w:rsidRDefault="003E5AFF">
      <w:pPr>
        <w:pStyle w:val="NormalWeb"/>
        <w:spacing w:before="0" w:beforeAutospacing="0" w:after="0" w:afterAutospacing="0"/>
        <w:divId w:val="169417002"/>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69417002"/>
        </w:trPr>
        <w:tc>
          <w:tcPr>
            <w:tcW w:w="1350" w:type="pct"/>
            <w:hideMark/>
          </w:tcPr>
          <w:p w:rsidR="00000000" w:rsidRDefault="003E5AFF">
            <w:pPr>
              <w:pStyle w:val="NormalWeb"/>
              <w:spacing w:after="15" w:afterAutospacing="0"/>
            </w:pPr>
            <w:r>
              <w:rPr>
                <w:rFonts w:ascii="Arial" w:hAnsi="Arial" w:cs="Arial"/>
                <w:b/>
                <w:bCs/>
              </w:rPr>
              <w:t xml:space="preserve">Preemptive Rights Offering </w:t>
            </w:r>
          </w:p>
        </w:tc>
        <w:tc>
          <w:tcPr>
            <w:tcW w:w="0" w:type="auto"/>
            <w:hideMark/>
          </w:tcPr>
          <w:p w:rsidR="00000000" w:rsidRDefault="003E5AFF">
            <w:pPr>
              <w:pStyle w:val="NormalWeb"/>
            </w:pPr>
            <w:r>
              <w:rPr>
                <w:rFonts w:ascii="Arial" w:hAnsi="Arial" w:cs="Arial"/>
              </w:rPr>
              <w:t>On April 29, 2011, our shareholders adopted a resolution to increase our capital by 270,000,000 shares of our common stock, equivalent to 90,000,000 ADSs, of which 27,0</w:t>
            </w:r>
            <w:r>
              <w:rPr>
                <w:rFonts w:ascii="Arial" w:hAnsi="Arial" w:cs="Arial"/>
              </w:rPr>
              <w:t xml:space="preserve">00,000 shares, or 10% of the capital increase, have been reserved for our employee stock compensation plans. In connection with the capital increase, we are required by Chilean law to make a preemptive rights offering to our existing </w:t>
            </w:r>
          </w:p>
        </w:tc>
      </w:tr>
    </w:tbl>
    <w:p w:rsidR="00000000" w:rsidRDefault="003E5AFF">
      <w:pPr>
        <w:pStyle w:val="NormalWeb"/>
        <w:spacing w:before="0" w:beforeAutospacing="0" w:after="0" w:afterAutospacing="0"/>
        <w:divId w:val="169417002"/>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- 12 - </w:t>
      </w:r>
    </w:p>
    <w:p w:rsidR="00000000" w:rsidRDefault="003E5AFF">
      <w:pPr>
        <w:rPr>
          <w:rFonts w:eastAsia="Times New Roman" w:cs="Times New Roman"/>
        </w:rPr>
      </w:pPr>
      <w:r>
        <w:rPr>
          <w:rFonts w:eastAsia="Times New Roman" w:cs="Times New Roman"/>
        </w:rPr>
        <w:pict>
          <v:rect id="_x0000_i1046" style="width:441.9pt;height:3pt" o:hralign="center" o:hrstd="t" o:hrnoshade="t" o:hr="t" fillcolor="#999" stroked="f"/>
        </w:pict>
      </w:r>
    </w:p>
    <w:p w:rsidR="00000000" w:rsidRDefault="003E5AFF">
      <w:pPr>
        <w:pStyle w:val="Heading5"/>
        <w:rPr>
          <w:rFonts w:eastAsia="Times New Roman" w:cs="Times New Roman"/>
        </w:rPr>
      </w:pPr>
      <w:hyperlink r:id="rId63"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819424245"/>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spacing w:before="0" w:beforeAutospacing="0" w:after="15" w:afterAutospacing="0"/>
            </w:pPr>
            <w:r>
              <w:rPr>
                <w:rFonts w:ascii="Arial" w:hAnsi="Arial" w:cs="Arial"/>
              </w:rPr>
              <w:t>shareholders. In the preemptive rights offering, we will be offering holders of shares of our common stock the right to subscribe for newly issued shares of common stock in proportion to their holdings of shares of common stock as registered on the fifth C</w:t>
            </w:r>
            <w:r>
              <w:rPr>
                <w:rFonts w:ascii="Arial" w:hAnsi="Arial" w:cs="Arial"/>
              </w:rPr>
              <w:t>hilean business day (including Saturday for this purpose) prior to the commencement of the preemptive rights offering. U.S. investors will not be offered any shares of common stock underlying the preemptive rights to be offered in the preemptive rights off</w:t>
            </w:r>
            <w:r>
              <w:rPr>
                <w:rFonts w:ascii="Arial" w:hAnsi="Arial" w:cs="Arial"/>
              </w:rPr>
              <w:t xml:space="preserve">ering. </w:t>
            </w:r>
          </w:p>
        </w:tc>
      </w:tr>
    </w:tbl>
    <w:p w:rsidR="00000000" w:rsidRDefault="003E5AFF">
      <w:pPr>
        <w:pStyle w:val="NormalWeb"/>
        <w:spacing w:before="0" w:beforeAutospacing="0" w:after="0" w:afterAutospacing="0"/>
        <w:divId w:val="819424245"/>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819424245"/>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The Company plans to commence the global offering prior to the commencement of the preemptive rights offering. The preemptive rights offering is currently expected to commence on                     , 2012, the day immediately after the pr</w:t>
            </w:r>
            <w:r>
              <w:rPr>
                <w:rFonts w:ascii="Arial" w:eastAsia="Times New Roman" w:hAnsi="Arial" w:cs="Arial"/>
              </w:rPr>
              <w:t xml:space="preserve">icing date for the global offering, and end 30 days thereafter. </w:t>
            </w:r>
          </w:p>
        </w:tc>
      </w:tr>
    </w:tbl>
    <w:p w:rsidR="00000000" w:rsidRDefault="003E5AFF">
      <w:pPr>
        <w:pStyle w:val="NormalWeb"/>
        <w:spacing w:before="0" w:beforeAutospacing="0" w:after="0" w:afterAutospacing="0"/>
        <w:divId w:val="819424245"/>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819424245"/>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The price at which our shares of common stock will be offered in the preemptive rights offering will be the same as the price at which shares of common stock, in the form of </w:t>
            </w:r>
            <w:r>
              <w:rPr>
                <w:rFonts w:ascii="Arial" w:eastAsia="Times New Roman" w:hAnsi="Arial" w:cs="Arial"/>
              </w:rPr>
              <w:t xml:space="preserve">shares, are being offered in the Chilean offering concurrent with the international offering. </w:t>
            </w:r>
          </w:p>
        </w:tc>
      </w:tr>
    </w:tbl>
    <w:p w:rsidR="00000000" w:rsidRDefault="003E5AFF">
      <w:pPr>
        <w:pStyle w:val="NormalWeb"/>
        <w:spacing w:before="0" w:beforeAutospacing="0" w:after="0" w:afterAutospacing="0"/>
        <w:divId w:val="819424245"/>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819424245"/>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The sale of shares of common stock, in the form of ADSs, in the international offering and the sale of shares of common stock, in the form of shares, in</w:t>
            </w:r>
            <w:r>
              <w:rPr>
                <w:rFonts w:ascii="Arial" w:eastAsia="Times New Roman" w:hAnsi="Arial" w:cs="Arial"/>
              </w:rPr>
              <w:t xml:space="preserve"> the Chilean offering are conditioned upon the waiver by our Controlling Shareholders of their rights with respect to 105,000,000 shares of our common stock subject to the preemptive rights offering. </w:t>
            </w:r>
          </w:p>
        </w:tc>
      </w:tr>
    </w:tbl>
    <w:p w:rsidR="00000000" w:rsidRDefault="003E5AFF">
      <w:pPr>
        <w:pStyle w:val="NormalWeb"/>
        <w:spacing w:before="0" w:beforeAutospacing="0" w:after="0" w:afterAutospacing="0"/>
        <w:divId w:val="819424245"/>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819424245"/>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See _Preemptive Rights Offering._ </w:t>
            </w:r>
          </w:p>
        </w:tc>
      </w:tr>
    </w:tbl>
    <w:p w:rsidR="00000000" w:rsidRDefault="003E5AFF">
      <w:pPr>
        <w:pStyle w:val="NormalWeb"/>
        <w:spacing w:before="0" w:beforeAutospacing="0" w:after="0" w:afterAutospacing="0"/>
        <w:divId w:val="819424245"/>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819424245"/>
        </w:trPr>
        <w:tc>
          <w:tcPr>
            <w:tcW w:w="1350" w:type="pct"/>
            <w:hideMark/>
          </w:tcPr>
          <w:p w:rsidR="00000000" w:rsidRDefault="003E5AFF">
            <w:pPr>
              <w:pStyle w:val="NormalWeb"/>
              <w:spacing w:after="15" w:afterAutospacing="0"/>
            </w:pPr>
            <w:r>
              <w:rPr>
                <w:rFonts w:ascii="Arial" w:hAnsi="Arial" w:cs="Arial"/>
                <w:b/>
                <w:bCs/>
              </w:rPr>
              <w:t>Purcha</w:t>
            </w:r>
            <w:r>
              <w:rPr>
                <w:rFonts w:ascii="Arial" w:hAnsi="Arial" w:cs="Arial"/>
                <w:b/>
                <w:bCs/>
              </w:rPr>
              <w:t xml:space="preserve">se and Settlement </w:t>
            </w:r>
          </w:p>
        </w:tc>
        <w:tc>
          <w:tcPr>
            <w:tcW w:w="0" w:type="auto"/>
            <w:hideMark/>
          </w:tcPr>
          <w:p w:rsidR="00000000" w:rsidRDefault="003E5AFF">
            <w:pPr>
              <w:rPr>
                <w:rFonts w:eastAsia="Times New Roman" w:cs="Times New Roman"/>
              </w:rPr>
            </w:pPr>
            <w:r>
              <w:rPr>
                <w:rFonts w:ascii="Arial" w:eastAsia="Times New Roman" w:hAnsi="Arial" w:cs="Arial"/>
              </w:rPr>
              <w:t xml:space="preserve">The shares of common stock will be sold initially through an order book auction on the Santiago Stock Exchange in a process known as </w:t>
            </w:r>
            <w:r>
              <w:rPr>
                <w:rFonts w:ascii="Arial" w:eastAsia="Times New Roman" w:hAnsi="Arial" w:cs="Arial"/>
                <w:i/>
                <w:iCs/>
              </w:rPr>
              <w:t>subasta de un libro de _rdenes</w:t>
            </w:r>
            <w:r>
              <w:rPr>
                <w:rFonts w:ascii="Arial" w:eastAsia="Times New Roman" w:hAnsi="Arial" w:cs="Arial"/>
              </w:rPr>
              <w:t xml:space="preserve">, in compliance with </w:t>
            </w:r>
            <w:r>
              <w:rPr>
                <w:rFonts w:ascii="Arial" w:eastAsia="Times New Roman" w:hAnsi="Arial" w:cs="Arial"/>
              </w:rPr>
              <w:t>Chilean law and the rules of the Santiago Stock Exchange. All orders of shares of common stock made by prospective purchasers, including by the international underwriters for purposes of the international offering, must be placed through an authorized Chil</w:t>
            </w:r>
            <w:r>
              <w:rPr>
                <w:rFonts w:ascii="Arial" w:eastAsia="Times New Roman" w:hAnsi="Arial" w:cs="Arial"/>
              </w:rPr>
              <w:t xml:space="preserve">ean broker under Chilean law. See _Order Book Auction._ The shares of common stock awarded to the international underwriters in the </w:t>
            </w:r>
            <w:r>
              <w:rPr>
                <w:rFonts w:ascii="Arial" w:eastAsia="Times New Roman" w:hAnsi="Arial" w:cs="Arial"/>
                <w:i/>
                <w:iCs/>
              </w:rPr>
              <w:t>subasta de un libro de _rdenes</w:t>
            </w:r>
            <w:r>
              <w:rPr>
                <w:rFonts w:ascii="Arial" w:eastAsia="Times New Roman" w:hAnsi="Arial" w:cs="Arial"/>
              </w:rPr>
              <w:t xml:space="preserve"> will be eligible for deposit in our ADS facility, subject to the terms of our Deposit Agreeme</w:t>
            </w:r>
            <w:r>
              <w:rPr>
                <w:rFonts w:ascii="Arial" w:eastAsia="Times New Roman" w:hAnsi="Arial" w:cs="Arial"/>
              </w:rPr>
              <w:t xml:space="preserve">nt, pursuant to which the ADSs will be issued. See _Underwriting._ </w:t>
            </w:r>
          </w:p>
        </w:tc>
      </w:tr>
    </w:tbl>
    <w:p w:rsidR="00000000" w:rsidRDefault="003E5AFF">
      <w:pPr>
        <w:pStyle w:val="NormalWeb"/>
        <w:spacing w:before="0" w:beforeAutospacing="0" w:after="0" w:afterAutospacing="0"/>
        <w:divId w:val="819424245"/>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819424245"/>
        </w:trPr>
        <w:tc>
          <w:tcPr>
            <w:tcW w:w="1350" w:type="pct"/>
            <w:hideMark/>
          </w:tcPr>
          <w:p w:rsidR="00000000" w:rsidRDefault="003E5AFF">
            <w:pPr>
              <w:pStyle w:val="NormalWeb"/>
              <w:spacing w:after="15" w:afterAutospacing="0"/>
            </w:pPr>
            <w:r>
              <w:rPr>
                <w:rFonts w:ascii="Arial" w:hAnsi="Arial" w:cs="Arial"/>
                <w:b/>
                <w:bCs/>
              </w:rPr>
              <w:t xml:space="preserve">Over-Allotment Option </w:t>
            </w:r>
          </w:p>
        </w:tc>
        <w:tc>
          <w:tcPr>
            <w:tcW w:w="0" w:type="auto"/>
            <w:hideMark/>
          </w:tcPr>
          <w:p w:rsidR="00000000" w:rsidRDefault="003E5AFF">
            <w:pPr>
              <w:pStyle w:val="NormalWeb"/>
            </w:pPr>
            <w:r>
              <w:rPr>
                <w:rFonts w:ascii="Arial" w:hAnsi="Arial" w:cs="Arial"/>
              </w:rPr>
              <w:t>Out of the shares made available for the global offering after the waiver by our Controlling Shareholders of their right with respect to 105,000,000 shares of</w:t>
            </w:r>
            <w:r>
              <w:rPr>
                <w:rFonts w:ascii="Arial" w:hAnsi="Arial" w:cs="Arial"/>
              </w:rPr>
              <w:t xml:space="preserve"> our common stock subject to the preemptive rights offering, we are granting the international underwriters an option to purchase up to 13,695,652 of shares at the public offering </w:t>
            </w:r>
          </w:p>
        </w:tc>
      </w:tr>
    </w:tbl>
    <w:p w:rsidR="00000000" w:rsidRDefault="003E5AFF">
      <w:pPr>
        <w:pStyle w:val="NormalWeb"/>
        <w:spacing w:before="0" w:beforeAutospacing="0" w:after="0" w:afterAutospacing="0"/>
        <w:divId w:val="819424245"/>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- 13 - </w:t>
      </w:r>
    </w:p>
    <w:p w:rsidR="00000000" w:rsidRDefault="003E5AFF">
      <w:pPr>
        <w:rPr>
          <w:rFonts w:eastAsia="Times New Roman" w:cs="Times New Roman"/>
        </w:rPr>
      </w:pPr>
      <w:r>
        <w:rPr>
          <w:rFonts w:eastAsia="Times New Roman" w:cs="Times New Roman"/>
        </w:rPr>
        <w:pict>
          <v:rect id="_x0000_i1047" style="width:441.9pt;height:3pt" o:hralign="center" o:hrstd="t" o:hrnoshade="t" o:hr="t" fillcolor="#999" stroked="f"/>
        </w:pict>
      </w:r>
    </w:p>
    <w:p w:rsidR="00000000" w:rsidRDefault="003E5AFF">
      <w:pPr>
        <w:pStyle w:val="Heading5"/>
        <w:rPr>
          <w:rFonts w:eastAsia="Times New Roman" w:cs="Times New Roman"/>
        </w:rPr>
      </w:pPr>
      <w:hyperlink r:id="rId64"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300692260"/>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spacing w:before="0" w:beforeAutospacing="0" w:after="15" w:afterAutospacing="0"/>
            </w:pPr>
            <w:r>
              <w:rPr>
                <w:rFonts w:ascii="Arial" w:hAnsi="Arial" w:cs="Arial"/>
              </w:rPr>
              <w:t xml:space="preserve">price, less the underwriting discount, within 30 days from the date of this prospectus to cover over-allotments. </w:t>
            </w:r>
          </w:p>
        </w:tc>
      </w:tr>
    </w:tbl>
    <w:p w:rsidR="00000000" w:rsidRDefault="003E5AFF">
      <w:pPr>
        <w:pStyle w:val="NormalWeb"/>
        <w:spacing w:before="0" w:beforeAutospacing="0" w:after="0" w:afterAutospacing="0"/>
        <w:divId w:val="30069226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300692260"/>
        </w:trPr>
        <w:tc>
          <w:tcPr>
            <w:tcW w:w="1350" w:type="pct"/>
            <w:hideMark/>
          </w:tcPr>
          <w:p w:rsidR="00000000" w:rsidRDefault="003E5AFF">
            <w:pPr>
              <w:pStyle w:val="NormalWeb"/>
              <w:spacing w:after="15" w:afterAutospacing="0"/>
            </w:pPr>
            <w:r>
              <w:rPr>
                <w:rFonts w:ascii="Arial" w:hAnsi="Arial" w:cs="Arial"/>
                <w:b/>
                <w:bCs/>
              </w:rPr>
              <w:t xml:space="preserve">Use of Proceeds </w:t>
            </w:r>
          </w:p>
        </w:tc>
        <w:tc>
          <w:tcPr>
            <w:tcW w:w="0" w:type="auto"/>
            <w:hideMark/>
          </w:tcPr>
          <w:p w:rsidR="00000000" w:rsidRDefault="003E5AFF">
            <w:pPr>
              <w:rPr>
                <w:rFonts w:eastAsia="Times New Roman" w:cs="Times New Roman"/>
              </w:rPr>
            </w:pPr>
            <w:r>
              <w:rPr>
                <w:rFonts w:ascii="Arial" w:eastAsia="Times New Roman" w:hAnsi="Arial" w:cs="Arial"/>
              </w:rPr>
              <w:t>We estimate that the net proceeds to us from the global offering, after deducting the underwriters_ discounts and comm</w:t>
            </w:r>
            <w:r>
              <w:rPr>
                <w:rFonts w:ascii="Arial" w:eastAsia="Times New Roman" w:hAnsi="Arial" w:cs="Arial"/>
              </w:rPr>
              <w:t>issions and estimated expenses incurred in connection with a global offering of 91,304,348 shares of common stock calculated using the last reported sale price of the shares on the Santiago Stock Exchange on June 7, 2012 of Ch$2,774.80 and an exchange rate</w:t>
            </w:r>
            <w:r>
              <w:rPr>
                <w:rFonts w:ascii="Arial" w:eastAsia="Times New Roman" w:hAnsi="Arial" w:cs="Arial"/>
              </w:rPr>
              <w:t xml:space="preserve"> of Ch$501.74 = U.S.$1.00 on such date, and assuming that the over-allotment option is not exercised, will be approximately Ch$248,257 million (US$495 million). An increase (decrease) of $1.00 in the price per share of common stock would increase (decrease</w:t>
            </w:r>
            <w:r>
              <w:rPr>
                <w:rFonts w:ascii="Arial" w:eastAsia="Times New Roman" w:hAnsi="Arial" w:cs="Arial"/>
              </w:rPr>
              <w:t xml:space="preserve">) the net proceeds in connection with the global offering by Ch$46,732 million (US$93.14 million) (not including the over-allotment option and calculated using the exchange rate of Ch$501.74 = U.S.$1.00 on June 7, 2012). </w:t>
            </w:r>
          </w:p>
        </w:tc>
      </w:tr>
    </w:tbl>
    <w:p w:rsidR="00000000" w:rsidRDefault="003E5AFF">
      <w:pPr>
        <w:pStyle w:val="NormalWeb"/>
        <w:spacing w:before="0" w:beforeAutospacing="0" w:after="0" w:afterAutospacing="0"/>
        <w:divId w:val="30069226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300692260"/>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We estimate that the net proceeds from the preemptive rights offerings in Chile will be approximately Ch$382,922 million (US$763.2 million) (assuming the waiver by our Controlling Shareholders of their rights with respect to 105,000,000 shares of common st</w:t>
            </w:r>
            <w:r>
              <w:rPr>
                <w:rFonts w:ascii="Arial" w:eastAsia="Times New Roman" w:hAnsi="Arial" w:cs="Arial"/>
              </w:rPr>
              <w:t xml:space="preserve">ock subject to the preemptive rights offering and the exercise in full of the remaining preemptive subscription rights calculated using the last reported sale price of the shares on the Santiago Stock Exchange on June 7, 2012 of Ch$2,774.80). </w:t>
            </w:r>
          </w:p>
        </w:tc>
      </w:tr>
    </w:tbl>
    <w:p w:rsidR="00000000" w:rsidRDefault="003E5AFF">
      <w:pPr>
        <w:pStyle w:val="NormalWeb"/>
        <w:spacing w:before="0" w:beforeAutospacing="0" w:after="0" w:afterAutospacing="0"/>
        <w:divId w:val="30069226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300692260"/>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We intend to use (i) approximately U.S.$245 million of the net proceeds from the global offering and the preemptive rights offering to repay all of our outstanding indebtedness under our Santander Short-Term Loan (as defined below), (ii) approximately U.S.</w:t>
            </w:r>
            <w:r>
              <w:rPr>
                <w:rFonts w:ascii="Arial" w:eastAsia="Times New Roman" w:hAnsi="Arial" w:cs="Arial"/>
              </w:rPr>
              <w:t>$480 million to acquire the remaining 38.636% of shares of Jumbo Retail Argentina S.A. (_Jumbo Retail Argentina_) currently held by UBS AG London Branch (_UBS London_) (see _Business_Material Agreements_), (iii) to repay approximately U.S.$200 million in s</w:t>
            </w:r>
            <w:r>
              <w:rPr>
                <w:rFonts w:ascii="Arial" w:eastAsia="Times New Roman" w:hAnsi="Arial" w:cs="Arial"/>
              </w:rPr>
              <w:t>hort-term indebtedness owed to an affiliate of Banco Bilbao Vizcaya Argentaria, S.A. under our BBVA Short-Term Loan (as defined below), (iv) to repay amounts drawn under our committed credit facility in the aggregate amount of U.S.$750 million, with an aff</w:t>
            </w:r>
            <w:r>
              <w:rPr>
                <w:rFonts w:ascii="Arial" w:eastAsia="Times New Roman" w:hAnsi="Arial" w:cs="Arial"/>
              </w:rPr>
              <w:t xml:space="preserve">iliate of J.P. Morgan and an affiliate of Morgan Stanley, which amounts drawn totaled U.S.$250 million as of May 18, 2012, and (v) the remainder, if any, for capital expenditures, working capital and general corporate purposes. </w:t>
            </w:r>
          </w:p>
        </w:tc>
      </w:tr>
    </w:tbl>
    <w:p w:rsidR="00000000" w:rsidRDefault="003E5AFF">
      <w:pPr>
        <w:pStyle w:val="NormalWeb"/>
        <w:spacing w:before="0" w:beforeAutospacing="0" w:after="0" w:afterAutospacing="0"/>
        <w:divId w:val="30069226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300692260"/>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For more details r</w:t>
            </w:r>
            <w:r>
              <w:rPr>
                <w:rFonts w:ascii="Arial" w:eastAsia="Times New Roman" w:hAnsi="Arial" w:cs="Arial"/>
              </w:rPr>
              <w:t xml:space="preserve">elated to our Santander Short-Term Loan please see _Management_s Discussion and Analysis of Financial Condition and Results of Operation_Liquidity and Capital Resources_Indebtedness_Recent Acquisitions._ </w:t>
            </w:r>
          </w:p>
        </w:tc>
      </w:tr>
    </w:tbl>
    <w:p w:rsidR="00000000" w:rsidRDefault="003E5AFF">
      <w:pPr>
        <w:pStyle w:val="NormalWeb"/>
        <w:spacing w:before="0" w:beforeAutospacing="0" w:after="0" w:afterAutospacing="0"/>
        <w:divId w:val="30069226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300692260"/>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For a description of our capital expenditure program please see _Management_s Discussion and Analysis of Financial Condition and </w:t>
            </w:r>
          </w:p>
        </w:tc>
      </w:tr>
    </w:tbl>
    <w:p w:rsidR="00000000" w:rsidRDefault="003E5AFF">
      <w:pPr>
        <w:pStyle w:val="NormalWeb"/>
        <w:spacing w:before="0" w:beforeAutospacing="0" w:after="0" w:afterAutospacing="0"/>
        <w:divId w:val="300692260"/>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- 14 - </w:t>
      </w:r>
    </w:p>
    <w:p w:rsidR="00000000" w:rsidRDefault="003E5AFF">
      <w:pPr>
        <w:rPr>
          <w:rFonts w:eastAsia="Times New Roman" w:cs="Times New Roman"/>
        </w:rPr>
      </w:pPr>
      <w:r>
        <w:rPr>
          <w:rFonts w:eastAsia="Times New Roman" w:cs="Times New Roman"/>
        </w:rPr>
        <w:pict>
          <v:rect id="_x0000_i1048" style="width:441.9pt;height:3pt" o:hralign="center" o:hrstd="t" o:hrnoshade="t" o:hr="t" fillcolor="#999" stroked="f"/>
        </w:pict>
      </w:r>
    </w:p>
    <w:p w:rsidR="00000000" w:rsidRDefault="003E5AFF">
      <w:pPr>
        <w:pStyle w:val="Heading5"/>
        <w:rPr>
          <w:rFonts w:eastAsia="Times New Roman" w:cs="Times New Roman"/>
        </w:rPr>
      </w:pPr>
      <w:hyperlink r:id="rId65"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30640076"/>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spacing w:before="0" w:beforeAutospacing="0" w:after="15" w:afterAutospacing="0"/>
            </w:pPr>
            <w:r>
              <w:rPr>
                <w:rFonts w:ascii="Arial" w:hAnsi="Arial" w:cs="Arial"/>
              </w:rPr>
              <w:t>Results of Operation_Liquidity and Capital Resources_Capital Expenditures._ It is likely that our capital expenditures will vary significantly from our current proj</w:t>
            </w:r>
            <w:r>
              <w:rPr>
                <w:rFonts w:ascii="Arial" w:hAnsi="Arial" w:cs="Arial"/>
              </w:rPr>
              <w:t xml:space="preserve">ections based on timing of investments and changes in market opportunities. </w:t>
            </w:r>
          </w:p>
        </w:tc>
      </w:tr>
    </w:tbl>
    <w:p w:rsidR="00000000" w:rsidRDefault="003E5AFF">
      <w:pPr>
        <w:pStyle w:val="NormalWeb"/>
        <w:spacing w:before="0" w:beforeAutospacing="0" w:after="0" w:afterAutospacing="0"/>
        <w:divId w:val="130640076"/>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30640076"/>
        </w:trPr>
        <w:tc>
          <w:tcPr>
            <w:tcW w:w="1350" w:type="pct"/>
            <w:hideMark/>
          </w:tcPr>
          <w:p w:rsidR="00000000" w:rsidRDefault="003E5AFF">
            <w:pPr>
              <w:pStyle w:val="NormalWeb"/>
              <w:spacing w:after="15" w:afterAutospacing="0"/>
            </w:pPr>
            <w:r>
              <w:rPr>
                <w:rFonts w:ascii="Arial" w:hAnsi="Arial" w:cs="Arial"/>
                <w:b/>
                <w:bCs/>
              </w:rPr>
              <w:t xml:space="preserve">Conflicts of Interest </w:t>
            </w:r>
          </w:p>
        </w:tc>
        <w:tc>
          <w:tcPr>
            <w:tcW w:w="0" w:type="auto"/>
            <w:hideMark/>
          </w:tcPr>
          <w:p w:rsidR="00000000" w:rsidRDefault="003E5AFF">
            <w:pPr>
              <w:rPr>
                <w:rFonts w:eastAsia="Times New Roman" w:cs="Times New Roman"/>
              </w:rPr>
            </w:pPr>
            <w:r>
              <w:rPr>
                <w:rFonts w:ascii="Arial" w:eastAsia="Times New Roman" w:hAnsi="Arial" w:cs="Arial"/>
              </w:rPr>
              <w:t>As described in _Use of Proceeds,_ the net proceeds of the global offering will be used in part to repay all of our outstanding indebtedness under our Santander Short-Term Loan (as defined below), to repay approximately U.S.$200 million in short-term indeb</w:t>
            </w:r>
            <w:r>
              <w:rPr>
                <w:rFonts w:ascii="Arial" w:eastAsia="Times New Roman" w:hAnsi="Arial" w:cs="Arial"/>
              </w:rPr>
              <w:t>tedness owed to an affiliate of Banco Bilbao Vizcaya Argentaria, S.A. under our BBVA Short-Term Loan (as defined below), to repay amounts drawn under our committed credit facility in the aggregate amount of U.S.$750 million, which amounts drawn totaled U.S</w:t>
            </w:r>
            <w:r>
              <w:rPr>
                <w:rFonts w:ascii="Arial" w:eastAsia="Times New Roman" w:hAnsi="Arial" w:cs="Arial"/>
              </w:rPr>
              <w:t xml:space="preserve">.$250 million as of May 18, 2012, with an affiliate of J.P. Morgan and an affiliate of Morgan Stanley, and to acquire the remaining 38.636% of Jumbo Retail Argentina shares currently held by UBS London. Because 5% or more of the net proceeds of the global </w:t>
            </w:r>
            <w:r>
              <w:rPr>
                <w:rFonts w:ascii="Arial" w:eastAsia="Times New Roman" w:hAnsi="Arial" w:cs="Arial"/>
              </w:rPr>
              <w:t xml:space="preserve">offering, not including underwriting compensation, will be directed to a member of the Financial Industry Regulatory Authority (_FINRA_), its affiliates, and associated persons, this offering will be made in accordance with FINRA Rule 5121, which requires </w:t>
            </w:r>
            <w:r>
              <w:rPr>
                <w:rFonts w:ascii="Arial" w:eastAsia="Times New Roman" w:hAnsi="Arial" w:cs="Arial"/>
              </w:rPr>
              <w:t>that a qualified independent underwriter (a _QIU_) participate in the preparation of this prospectus and perform the usual standards of due diligence with respect thereto. Credit Suisse Securities (USA) LLC is assuming the responsibilities of acting as the</w:t>
            </w:r>
            <w:r>
              <w:rPr>
                <w:rFonts w:ascii="Arial" w:eastAsia="Times New Roman" w:hAnsi="Arial" w:cs="Arial"/>
              </w:rPr>
              <w:t xml:space="preserve"> QIU in connection with this offering. </w:t>
            </w:r>
          </w:p>
        </w:tc>
      </w:tr>
    </w:tbl>
    <w:p w:rsidR="00000000" w:rsidRDefault="003E5AFF">
      <w:pPr>
        <w:pStyle w:val="NormalWeb"/>
        <w:spacing w:before="0" w:beforeAutospacing="0" w:after="0" w:afterAutospacing="0"/>
        <w:divId w:val="130640076"/>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30640076"/>
        </w:trPr>
        <w:tc>
          <w:tcPr>
            <w:tcW w:w="1350" w:type="pct"/>
            <w:hideMark/>
          </w:tcPr>
          <w:p w:rsidR="00000000" w:rsidRDefault="003E5AFF">
            <w:pPr>
              <w:pStyle w:val="NormalWeb"/>
              <w:spacing w:after="15" w:afterAutospacing="0"/>
            </w:pPr>
            <w:r>
              <w:rPr>
                <w:rFonts w:ascii="Arial" w:hAnsi="Arial" w:cs="Arial"/>
                <w:b/>
                <w:bCs/>
              </w:rPr>
              <w:t xml:space="preserve">The ADSs </w:t>
            </w:r>
          </w:p>
        </w:tc>
        <w:tc>
          <w:tcPr>
            <w:tcW w:w="0" w:type="auto"/>
            <w:hideMark/>
          </w:tcPr>
          <w:p w:rsidR="00000000" w:rsidRDefault="003E5AFF">
            <w:pPr>
              <w:rPr>
                <w:rFonts w:eastAsia="Times New Roman" w:cs="Times New Roman"/>
              </w:rPr>
            </w:pPr>
            <w:r>
              <w:rPr>
                <w:rFonts w:ascii="Arial" w:eastAsia="Times New Roman" w:hAnsi="Arial" w:cs="Arial"/>
              </w:rPr>
              <w:t xml:space="preserve">Each ADS represents three common shares. The ADSs will be evidenced by ADRs. See _Description of Share Capital_ and _Description of American Depositary Receipts._ </w:t>
            </w:r>
          </w:p>
        </w:tc>
      </w:tr>
    </w:tbl>
    <w:p w:rsidR="00000000" w:rsidRDefault="003E5AFF">
      <w:pPr>
        <w:pStyle w:val="NormalWeb"/>
        <w:spacing w:before="0" w:beforeAutospacing="0" w:after="0" w:afterAutospacing="0"/>
        <w:divId w:val="130640076"/>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30640076"/>
        </w:trPr>
        <w:tc>
          <w:tcPr>
            <w:tcW w:w="1350" w:type="pct"/>
            <w:hideMark/>
          </w:tcPr>
          <w:p w:rsidR="00000000" w:rsidRDefault="003E5AFF">
            <w:pPr>
              <w:pStyle w:val="NormalWeb"/>
              <w:spacing w:after="15" w:afterAutospacing="0"/>
            </w:pPr>
            <w:r>
              <w:rPr>
                <w:rFonts w:ascii="Arial" w:hAnsi="Arial" w:cs="Arial"/>
                <w:b/>
                <w:bCs/>
              </w:rPr>
              <w:t>Shares outstanding immediately</w:t>
            </w:r>
            <w:r>
              <w:rPr>
                <w:rFonts w:ascii="Arial" w:hAnsi="Arial" w:cs="Arial"/>
                <w:b/>
                <w:bCs/>
              </w:rPr>
              <w:t xml:space="preserve"> prior to and following the preemptive rights offering and the global offering </w:t>
            </w:r>
          </w:p>
        </w:tc>
        <w:tc>
          <w:tcPr>
            <w:tcW w:w="0" w:type="auto"/>
            <w:hideMark/>
          </w:tcPr>
          <w:p w:rsidR="00000000" w:rsidRDefault="003E5AFF">
            <w:pPr>
              <w:rPr>
                <w:rFonts w:eastAsia="Times New Roman" w:cs="Times New Roman"/>
              </w:rPr>
            </w:pPr>
            <w:r>
              <w:rPr>
                <w:rFonts w:ascii="Arial" w:eastAsia="Times New Roman" w:hAnsi="Arial" w:cs="Arial"/>
              </w:rPr>
              <w:t>Immediately prior to the global offering and the preemptive rights offering, our issued and outstanding capital stock consisted of 2,264,103,215 shares of common stock. See _Description of Share Capital_ in this prospectus. We will have 2,507,103,215 share</w:t>
            </w:r>
            <w:r>
              <w:rPr>
                <w:rFonts w:ascii="Arial" w:eastAsia="Times New Roman" w:hAnsi="Arial" w:cs="Arial"/>
              </w:rPr>
              <w:t>s of common stock outstanding, including shares represented by ADSs, after giving effect to the global offering, the preemptive rights offering and excluding the newly-issued shares reserved for our employee stock option plan, assuming the waiver by our Co</w:t>
            </w:r>
            <w:r>
              <w:rPr>
                <w:rFonts w:ascii="Arial" w:eastAsia="Times New Roman" w:hAnsi="Arial" w:cs="Arial"/>
              </w:rPr>
              <w:t>ntrolling Shareholders of their rights with respect to 105,000,000 shares of common stock subject to the preemptive rights offering and the exercise in full of the remaining preemptive subscription rights and the full exercise by the international underwri</w:t>
            </w:r>
            <w:r>
              <w:rPr>
                <w:rFonts w:ascii="Arial" w:eastAsia="Times New Roman" w:hAnsi="Arial" w:cs="Arial"/>
              </w:rPr>
              <w:t xml:space="preserve">ters of the over-allotment option. </w:t>
            </w:r>
          </w:p>
        </w:tc>
      </w:tr>
    </w:tbl>
    <w:p w:rsidR="00000000" w:rsidRDefault="003E5AFF">
      <w:pPr>
        <w:pStyle w:val="NormalWeb"/>
        <w:spacing w:before="0" w:beforeAutospacing="0" w:after="0" w:afterAutospacing="0"/>
        <w:divId w:val="130640076"/>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- 15 - </w:t>
      </w:r>
    </w:p>
    <w:p w:rsidR="00000000" w:rsidRDefault="003E5AFF">
      <w:pPr>
        <w:rPr>
          <w:rFonts w:eastAsia="Times New Roman" w:cs="Times New Roman"/>
        </w:rPr>
      </w:pPr>
      <w:r>
        <w:rPr>
          <w:rFonts w:eastAsia="Times New Roman" w:cs="Times New Roman"/>
        </w:rPr>
        <w:pict>
          <v:rect id="_x0000_i1049" style="width:441.9pt;height:3pt" o:hralign="center" o:hrstd="t" o:hrnoshade="t" o:hr="t" fillcolor="#999" stroked="f"/>
        </w:pict>
      </w:r>
    </w:p>
    <w:p w:rsidR="00000000" w:rsidRDefault="003E5AFF">
      <w:pPr>
        <w:pStyle w:val="Heading5"/>
        <w:rPr>
          <w:rFonts w:eastAsia="Times New Roman" w:cs="Times New Roman"/>
        </w:rPr>
      </w:pPr>
      <w:hyperlink r:id="rId66"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924215954"/>
        </w:trPr>
        <w:tc>
          <w:tcPr>
            <w:tcW w:w="1350" w:type="pct"/>
            <w:hideMark/>
          </w:tcPr>
          <w:p w:rsidR="00000000" w:rsidRDefault="003E5AFF">
            <w:pPr>
              <w:pStyle w:val="NormalWeb"/>
              <w:spacing w:after="15" w:afterAutospacing="0"/>
            </w:pPr>
            <w:r>
              <w:rPr>
                <w:rFonts w:ascii="Arial" w:hAnsi="Arial" w:cs="Arial"/>
                <w:b/>
                <w:bCs/>
              </w:rPr>
              <w:t xml:space="preserve">Controlling Shareholders </w:t>
            </w:r>
          </w:p>
        </w:tc>
        <w:tc>
          <w:tcPr>
            <w:tcW w:w="0" w:type="auto"/>
            <w:hideMark/>
          </w:tcPr>
          <w:p w:rsidR="00000000" w:rsidRDefault="003E5AFF">
            <w:pPr>
              <w:rPr>
                <w:rFonts w:eastAsia="Times New Roman" w:cs="Times New Roman"/>
              </w:rPr>
            </w:pPr>
            <w:r>
              <w:rPr>
                <w:rFonts w:ascii="Arial" w:eastAsia="Times New Roman" w:hAnsi="Arial" w:cs="Arial"/>
              </w:rPr>
              <w:t>The following table summarizes the percentage of our outstanding shares that would be held by our Controlling Shareholders after giving effect to the global offering in four scenarios that presume different circumstances for the exercise of preemptive righ</w:t>
            </w:r>
            <w:r>
              <w:rPr>
                <w:rFonts w:ascii="Arial" w:eastAsia="Times New Roman" w:hAnsi="Arial" w:cs="Arial"/>
              </w:rPr>
              <w:t xml:space="preserve">ts to purchase newly issued shares and the over-allotment option. The percentages for the exercise of the preemptive rights and for the overallotment may vary and the following table is included for illustrative purposes only. </w:t>
            </w:r>
          </w:p>
        </w:tc>
      </w:tr>
    </w:tbl>
    <w:p w:rsidR="00000000" w:rsidRDefault="003E5AFF">
      <w:pPr>
        <w:pStyle w:val="NormalWeb"/>
        <w:spacing w:before="0" w:beforeAutospacing="0" w:after="0" w:afterAutospacing="0"/>
        <w:divId w:val="1924215954"/>
        <w:rPr>
          <w:sz w:val="2"/>
          <w:szCs w:val="2"/>
        </w:rPr>
      </w:pPr>
      <w:r>
        <w:rPr>
          <w:sz w:val="2"/>
          <w:szCs w:val="2"/>
        </w:rPr>
        <w:t> </w:t>
      </w:r>
    </w:p>
    <w:p w:rsidR="00000000" w:rsidRDefault="003E5AFF">
      <w:pPr>
        <w:pStyle w:val="NormalWeb"/>
        <w:spacing w:before="0" w:beforeAutospacing="0" w:after="0" w:afterAutospacing="0"/>
        <w:divId w:val="1924215954"/>
        <w:rPr>
          <w:sz w:val="12"/>
          <w:szCs w:val="12"/>
        </w:rPr>
      </w:pPr>
      <w:r>
        <w:rPr>
          <w:sz w:val="12"/>
          <w:szCs w:val="12"/>
        </w:rPr>
        <w:t> </w:t>
      </w:r>
    </w:p>
    <w:tbl>
      <w:tblPr>
        <w:tblW w:w="3650" w:type="pct"/>
        <w:jc w:val="right"/>
        <w:tblCellMar>
          <w:left w:w="0" w:type="dxa"/>
          <w:right w:w="0" w:type="dxa"/>
        </w:tblCellMar>
        <w:tblLook w:val="04A0" w:firstRow="1" w:lastRow="0" w:firstColumn="1" w:lastColumn="0" w:noHBand="0" w:noVBand="1"/>
      </w:tblPr>
      <w:tblGrid>
        <w:gridCol w:w="3126"/>
        <w:gridCol w:w="189"/>
        <w:gridCol w:w="66"/>
        <w:gridCol w:w="1057"/>
        <w:gridCol w:w="112"/>
        <w:gridCol w:w="189"/>
        <w:gridCol w:w="71"/>
        <w:gridCol w:w="1141"/>
        <w:gridCol w:w="112"/>
      </w:tblGrid>
      <w:tr w:rsidR="00000000">
        <w:trPr>
          <w:divId w:val="1924215954"/>
          <w:jc w:val="right"/>
        </w:trPr>
        <w:tc>
          <w:tcPr>
            <w:tcW w:w="330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924215954"/>
          <w:jc w:val="right"/>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Over-allotment option</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24215954"/>
          <w:jc w:val="right"/>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No exercise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Full exercise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24215954"/>
          <w:jc w:val="right"/>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924215954"/>
          <w:jc w:val="right"/>
        </w:trPr>
        <w:tc>
          <w:tcPr>
            <w:tcW w:w="0" w:type="auto"/>
            <w:hideMark/>
          </w:tcPr>
          <w:p w:rsidR="00000000" w:rsidRDefault="003E5AFF">
            <w:pPr>
              <w:pStyle w:val="NormalWeb"/>
              <w:ind w:left="240" w:hanging="240"/>
            </w:pPr>
            <w:r>
              <w:rPr>
                <w:rFonts w:ascii="Arial" w:hAnsi="Arial" w:cs="Arial"/>
              </w:rPr>
              <w:t>Partial exercise of preemptive rights to purchase newly issued shares(1)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    62.70%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    62.39%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24215954"/>
          <w:jc w:val="right"/>
        </w:trPr>
        <w:tc>
          <w:tcPr>
            <w:tcW w:w="0" w:type="auto"/>
            <w:shd w:val="clear" w:color="auto" w:fill="CCEEFF"/>
            <w:hideMark/>
          </w:tcPr>
          <w:p w:rsidR="00000000" w:rsidRDefault="003E5AFF">
            <w:pPr>
              <w:pStyle w:val="NormalWeb"/>
              <w:ind w:left="240" w:hanging="240"/>
            </w:pPr>
            <w:r>
              <w:rPr>
                <w:rFonts w:ascii="Arial" w:hAnsi="Arial" w:cs="Arial"/>
              </w:rPr>
              <w:t>Full exercise of preemptive rights to purchase newly issued shares(2)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61.63%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61.33%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24215954"/>
          <w:jc w:val="right"/>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924215954"/>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2320"/>
        <w:gridCol w:w="184"/>
        <w:gridCol w:w="77"/>
        <w:gridCol w:w="5725"/>
      </w:tblGrid>
      <w:tr w:rsidR="00000000">
        <w:trPr>
          <w:divId w:val="1924215954"/>
        </w:trPr>
        <w:tc>
          <w:tcPr>
            <w:tcW w:w="14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Assumes the waiver by our Controlling Shareholders of their rights with respect to 105,000,000 shares of common stock subject to the preemptive rights offering and the exercise of only 50% of the remaining preemptive subscription rights. </w:t>
            </w:r>
          </w:p>
        </w:tc>
      </w:tr>
    </w:tbl>
    <w:p w:rsidR="00000000" w:rsidRDefault="003E5AFF">
      <w:pPr>
        <w:pStyle w:val="NormalWeb"/>
        <w:spacing w:before="0" w:beforeAutospacing="0" w:after="0" w:afterAutospacing="0"/>
        <w:divId w:val="1924215954"/>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2320"/>
        <w:gridCol w:w="184"/>
        <w:gridCol w:w="77"/>
        <w:gridCol w:w="5725"/>
      </w:tblGrid>
      <w:tr w:rsidR="00000000">
        <w:trPr>
          <w:divId w:val="1924215954"/>
        </w:trPr>
        <w:tc>
          <w:tcPr>
            <w:tcW w:w="14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Assumes the waiver by our Controlling Shareholders of their rights with respect to 105,000,000 shares of common stock subject to the preemptive rights offering and the full exercise of the remaining preemptive subscription rights. </w:t>
            </w:r>
          </w:p>
        </w:tc>
      </w:tr>
    </w:tbl>
    <w:p w:rsidR="00000000" w:rsidRDefault="003E5AFF">
      <w:pPr>
        <w:pStyle w:val="NormalWeb"/>
        <w:spacing w:before="0" w:beforeAutospacing="0" w:after="0" w:afterAutospacing="0"/>
        <w:divId w:val="1924215954"/>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924215954"/>
        </w:trPr>
        <w:tc>
          <w:tcPr>
            <w:tcW w:w="135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As long as our Controlling Shareholders beneficially own a majority of the outstanding shares of common stock, they will be able to elect a majority of our directors and to determine the outcome of the voting on substantially all actions that require share</w:t>
            </w:r>
            <w:r>
              <w:rPr>
                <w:rFonts w:ascii="Arial" w:eastAsia="Times New Roman" w:hAnsi="Arial" w:cs="Arial"/>
              </w:rPr>
              <w:t xml:space="preserve">holder approval. See _Principal Shareholders,_ and _Description of Share Capital_Shareholders_ meetings and voting rights_ in the this prospectus. </w:t>
            </w:r>
          </w:p>
        </w:tc>
      </w:tr>
    </w:tbl>
    <w:p w:rsidR="00000000" w:rsidRDefault="003E5AFF">
      <w:pPr>
        <w:pStyle w:val="NormalWeb"/>
        <w:spacing w:before="0" w:beforeAutospacing="0" w:after="0" w:afterAutospacing="0"/>
        <w:divId w:val="1924215954"/>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924215954"/>
        </w:trPr>
        <w:tc>
          <w:tcPr>
            <w:tcW w:w="1350" w:type="pct"/>
            <w:hideMark/>
          </w:tcPr>
          <w:p w:rsidR="00000000" w:rsidRDefault="003E5AFF">
            <w:pPr>
              <w:pStyle w:val="NormalWeb"/>
              <w:spacing w:after="15" w:afterAutospacing="0"/>
            </w:pPr>
            <w:r>
              <w:rPr>
                <w:rFonts w:ascii="Arial" w:hAnsi="Arial" w:cs="Arial"/>
                <w:b/>
                <w:bCs/>
              </w:rPr>
              <w:t xml:space="preserve">Voting Rights </w:t>
            </w:r>
          </w:p>
        </w:tc>
        <w:tc>
          <w:tcPr>
            <w:tcW w:w="0" w:type="auto"/>
            <w:hideMark/>
          </w:tcPr>
          <w:p w:rsidR="00000000" w:rsidRDefault="003E5AFF">
            <w:pPr>
              <w:rPr>
                <w:rFonts w:eastAsia="Times New Roman" w:cs="Times New Roman"/>
              </w:rPr>
            </w:pPr>
            <w:r>
              <w:rPr>
                <w:rFonts w:ascii="Arial" w:eastAsia="Times New Roman" w:hAnsi="Arial" w:cs="Arial"/>
              </w:rPr>
              <w:t xml:space="preserve">See _Description of Share Capital_Shareholders_ meetings and voting rights._ </w:t>
            </w:r>
          </w:p>
        </w:tc>
      </w:tr>
    </w:tbl>
    <w:p w:rsidR="00000000" w:rsidRDefault="003E5AFF">
      <w:pPr>
        <w:pStyle w:val="NormalWeb"/>
        <w:spacing w:before="0" w:beforeAutospacing="0" w:after="0" w:afterAutospacing="0"/>
        <w:divId w:val="1924215954"/>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924215954"/>
        </w:trPr>
        <w:tc>
          <w:tcPr>
            <w:tcW w:w="1350" w:type="pct"/>
            <w:hideMark/>
          </w:tcPr>
          <w:p w:rsidR="00000000" w:rsidRDefault="003E5AFF">
            <w:pPr>
              <w:pStyle w:val="NormalWeb"/>
              <w:spacing w:after="15" w:afterAutospacing="0"/>
            </w:pPr>
            <w:r>
              <w:rPr>
                <w:rFonts w:ascii="Arial" w:hAnsi="Arial" w:cs="Arial"/>
                <w:b/>
                <w:bCs/>
              </w:rPr>
              <w:t xml:space="preserve">Dividends </w:t>
            </w:r>
          </w:p>
        </w:tc>
        <w:tc>
          <w:tcPr>
            <w:tcW w:w="0" w:type="auto"/>
            <w:hideMark/>
          </w:tcPr>
          <w:p w:rsidR="00000000" w:rsidRDefault="003E5AFF">
            <w:pPr>
              <w:rPr>
                <w:rFonts w:eastAsia="Times New Roman" w:cs="Times New Roman"/>
              </w:rPr>
            </w:pPr>
            <w:r>
              <w:rPr>
                <w:rFonts w:ascii="Arial" w:eastAsia="Times New Roman" w:hAnsi="Arial" w:cs="Arial"/>
              </w:rPr>
              <w:t xml:space="preserve">See _Dividend Policy._ </w:t>
            </w:r>
          </w:p>
        </w:tc>
      </w:tr>
    </w:tbl>
    <w:p w:rsidR="00000000" w:rsidRDefault="003E5AFF">
      <w:pPr>
        <w:pStyle w:val="NormalWeb"/>
        <w:spacing w:before="0" w:beforeAutospacing="0" w:after="0" w:afterAutospacing="0"/>
        <w:divId w:val="1924215954"/>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924215954"/>
        </w:trPr>
        <w:tc>
          <w:tcPr>
            <w:tcW w:w="1350" w:type="pct"/>
            <w:hideMark/>
          </w:tcPr>
          <w:p w:rsidR="00000000" w:rsidRDefault="003E5AFF">
            <w:pPr>
              <w:pStyle w:val="NormalWeb"/>
              <w:spacing w:after="15" w:afterAutospacing="0"/>
            </w:pPr>
            <w:r>
              <w:rPr>
                <w:rFonts w:ascii="Arial" w:hAnsi="Arial" w:cs="Arial"/>
                <w:b/>
                <w:bCs/>
              </w:rPr>
              <w:t xml:space="preserve">Lock up-Agreements </w:t>
            </w:r>
          </w:p>
        </w:tc>
        <w:tc>
          <w:tcPr>
            <w:tcW w:w="0" w:type="auto"/>
            <w:hideMark/>
          </w:tcPr>
          <w:p w:rsidR="00000000" w:rsidRDefault="003E5AFF">
            <w:pPr>
              <w:rPr>
                <w:rFonts w:eastAsia="Times New Roman" w:cs="Times New Roman"/>
              </w:rPr>
            </w:pPr>
            <w:r>
              <w:rPr>
                <w:rFonts w:ascii="Arial" w:eastAsia="Times New Roman" w:hAnsi="Arial" w:cs="Arial"/>
              </w:rPr>
              <w:t>We and certain of our shareholders and executive officers have agreed with the international underwriters, subject to certain exceptions, not to issue, offer, pledge, contract to sell or other</w:t>
            </w:r>
            <w:r>
              <w:rPr>
                <w:rFonts w:ascii="Arial" w:eastAsia="Times New Roman" w:hAnsi="Arial" w:cs="Arial"/>
              </w:rPr>
              <w:t xml:space="preserve">wise dispose of, directly or indirectly, without the previous written consent of the representatives, and of our ADSs or common shares or securities convertible into or exchangeable or exercisable for any ADSs or common shares during the period commencing </w:t>
            </w:r>
            <w:r>
              <w:rPr>
                <w:rFonts w:ascii="Arial" w:eastAsia="Times New Roman" w:hAnsi="Arial" w:cs="Arial"/>
              </w:rPr>
              <w:t>on the date of this prospectus until 180 days after the completion of this offering. Our directors and executive officers, and Controlling Shareholders have agreed to substantially similar lock-up provisions, subject to certain exceptions. See _Underwritin</w:t>
            </w:r>
            <w:r>
              <w:rPr>
                <w:rFonts w:ascii="Arial" w:eastAsia="Times New Roman" w:hAnsi="Arial" w:cs="Arial"/>
              </w:rPr>
              <w:t xml:space="preserve">g._ </w:t>
            </w:r>
          </w:p>
        </w:tc>
      </w:tr>
    </w:tbl>
    <w:p w:rsidR="00000000" w:rsidRDefault="003E5AFF">
      <w:pPr>
        <w:pStyle w:val="NormalWeb"/>
        <w:spacing w:before="0" w:beforeAutospacing="0" w:after="0" w:afterAutospacing="0"/>
        <w:divId w:val="1924215954"/>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924215954"/>
        </w:trPr>
        <w:tc>
          <w:tcPr>
            <w:tcW w:w="1350" w:type="pct"/>
            <w:hideMark/>
          </w:tcPr>
          <w:p w:rsidR="00000000" w:rsidRDefault="003E5AFF">
            <w:pPr>
              <w:pStyle w:val="NormalWeb"/>
              <w:spacing w:after="15" w:afterAutospacing="0"/>
            </w:pPr>
            <w:r>
              <w:rPr>
                <w:rFonts w:ascii="Arial" w:hAnsi="Arial" w:cs="Arial"/>
                <w:b/>
                <w:bCs/>
              </w:rPr>
              <w:t xml:space="preserve">Depositary </w:t>
            </w:r>
          </w:p>
        </w:tc>
        <w:tc>
          <w:tcPr>
            <w:tcW w:w="0" w:type="auto"/>
            <w:hideMark/>
          </w:tcPr>
          <w:p w:rsidR="00000000" w:rsidRDefault="003E5AFF">
            <w:pPr>
              <w:rPr>
                <w:rFonts w:eastAsia="Times New Roman" w:cs="Times New Roman"/>
              </w:rPr>
            </w:pPr>
            <w:r>
              <w:rPr>
                <w:rFonts w:ascii="Arial" w:eastAsia="Times New Roman" w:hAnsi="Arial" w:cs="Arial"/>
              </w:rPr>
              <w:t xml:space="preserve">The Bank of New York Mellon </w:t>
            </w:r>
          </w:p>
        </w:tc>
      </w:tr>
    </w:tbl>
    <w:p w:rsidR="00000000" w:rsidRDefault="003E5AFF">
      <w:pPr>
        <w:pStyle w:val="NormalWeb"/>
        <w:spacing w:before="0" w:beforeAutospacing="0" w:after="0" w:afterAutospacing="0"/>
        <w:divId w:val="1924215954"/>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- 16 - </w:t>
      </w:r>
    </w:p>
    <w:p w:rsidR="00000000" w:rsidRDefault="003E5AFF">
      <w:pPr>
        <w:rPr>
          <w:rFonts w:eastAsia="Times New Roman" w:cs="Times New Roman"/>
        </w:rPr>
      </w:pPr>
      <w:r>
        <w:rPr>
          <w:rFonts w:eastAsia="Times New Roman" w:cs="Times New Roman"/>
        </w:rPr>
        <w:pict>
          <v:rect id="_x0000_i1050" style="width:441.9pt;height:3pt" o:hralign="center" o:hrstd="t" o:hrnoshade="t" o:hr="t" fillcolor="#999" stroked="f"/>
        </w:pict>
      </w:r>
    </w:p>
    <w:p w:rsidR="00000000" w:rsidRDefault="003E5AFF">
      <w:pPr>
        <w:pStyle w:val="Heading5"/>
        <w:rPr>
          <w:rFonts w:eastAsia="Times New Roman" w:cs="Times New Roman"/>
        </w:rPr>
      </w:pPr>
      <w:hyperlink r:id="rId67" w:anchor="toc" w:history="1">
        <w:r>
          <w:rPr>
            <w:rStyle w:val="Hyperlink"/>
            <w:rFonts w:eastAsia="Times New Roman" w:cs="Times New Roman"/>
          </w:rPr>
          <w:t xml:space="preserve">Table of </w:t>
        </w:r>
        <w:r>
          <w:rPr>
            <w:rStyle w:val="Hyperlink"/>
            <w:rFonts w:eastAsia="Times New Roman" w:cs="Times New Roman"/>
          </w:rPr>
          <w:t>Contents</w:t>
        </w:r>
      </w:hyperlink>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557668895"/>
        </w:trPr>
        <w:tc>
          <w:tcPr>
            <w:tcW w:w="1350" w:type="pct"/>
            <w:hideMark/>
          </w:tcPr>
          <w:p w:rsidR="00000000" w:rsidRDefault="003E5AFF">
            <w:pPr>
              <w:pStyle w:val="NormalWeb"/>
              <w:spacing w:after="15" w:afterAutospacing="0"/>
            </w:pPr>
            <w:r>
              <w:rPr>
                <w:rFonts w:ascii="Arial" w:hAnsi="Arial" w:cs="Arial"/>
                <w:b/>
                <w:bCs/>
              </w:rPr>
              <w:t xml:space="preserve">Transfer Agent </w:t>
            </w:r>
          </w:p>
        </w:tc>
        <w:tc>
          <w:tcPr>
            <w:tcW w:w="0" w:type="auto"/>
            <w:hideMark/>
          </w:tcPr>
          <w:p w:rsidR="00000000" w:rsidRDefault="003E5AFF">
            <w:pPr>
              <w:rPr>
                <w:rFonts w:eastAsia="Times New Roman" w:cs="Times New Roman"/>
              </w:rPr>
            </w:pPr>
            <w:r>
              <w:rPr>
                <w:rFonts w:ascii="Arial" w:eastAsia="Times New Roman" w:hAnsi="Arial" w:cs="Arial"/>
              </w:rPr>
              <w:t xml:space="preserve">The Bank of New York Mellon </w:t>
            </w:r>
          </w:p>
        </w:tc>
      </w:tr>
    </w:tbl>
    <w:p w:rsidR="00000000" w:rsidRDefault="003E5AFF">
      <w:pPr>
        <w:pStyle w:val="NormalWeb"/>
        <w:spacing w:before="0" w:beforeAutospacing="0" w:after="0" w:afterAutospacing="0"/>
        <w:divId w:val="1557668895"/>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557668895"/>
        </w:trPr>
        <w:tc>
          <w:tcPr>
            <w:tcW w:w="1350" w:type="pct"/>
            <w:hideMark/>
          </w:tcPr>
          <w:p w:rsidR="00000000" w:rsidRDefault="003E5AFF">
            <w:pPr>
              <w:pStyle w:val="NormalWeb"/>
              <w:spacing w:after="15" w:afterAutospacing="0"/>
            </w:pPr>
            <w:r>
              <w:rPr>
                <w:rFonts w:ascii="Arial" w:hAnsi="Arial" w:cs="Arial"/>
                <w:b/>
                <w:bCs/>
              </w:rPr>
              <w:t xml:space="preserve">Listing </w:t>
            </w:r>
          </w:p>
        </w:tc>
        <w:tc>
          <w:tcPr>
            <w:tcW w:w="0" w:type="auto"/>
            <w:hideMark/>
          </w:tcPr>
          <w:p w:rsidR="00000000" w:rsidRDefault="003E5AFF">
            <w:pPr>
              <w:rPr>
                <w:rFonts w:eastAsia="Times New Roman" w:cs="Times New Roman"/>
              </w:rPr>
            </w:pPr>
            <w:r>
              <w:rPr>
                <w:rFonts w:ascii="Arial" w:eastAsia="Times New Roman" w:hAnsi="Arial" w:cs="Arial"/>
              </w:rPr>
              <w:t xml:space="preserve">We have applied to list our ADSs on the New York Stock Exchange under the symbol _CNCO._ </w:t>
            </w:r>
          </w:p>
        </w:tc>
      </w:tr>
    </w:tbl>
    <w:p w:rsidR="00000000" w:rsidRDefault="003E5AFF">
      <w:pPr>
        <w:pStyle w:val="NormalWeb"/>
        <w:spacing w:before="0" w:beforeAutospacing="0" w:after="0" w:afterAutospacing="0"/>
        <w:divId w:val="1557668895"/>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243"/>
        <w:gridCol w:w="6063"/>
      </w:tblGrid>
      <w:tr w:rsidR="00000000">
        <w:trPr>
          <w:divId w:val="1557668895"/>
        </w:trPr>
        <w:tc>
          <w:tcPr>
            <w:tcW w:w="1350" w:type="pct"/>
            <w:hideMark/>
          </w:tcPr>
          <w:p w:rsidR="00000000" w:rsidRDefault="003E5AFF">
            <w:pPr>
              <w:pStyle w:val="NormalWeb"/>
              <w:spacing w:after="15" w:afterAutospacing="0"/>
            </w:pPr>
            <w:r>
              <w:rPr>
                <w:rFonts w:ascii="Arial" w:hAnsi="Arial" w:cs="Arial"/>
                <w:b/>
                <w:bCs/>
              </w:rPr>
              <w:t xml:space="preserve">Risk Factors </w:t>
            </w:r>
          </w:p>
        </w:tc>
        <w:tc>
          <w:tcPr>
            <w:tcW w:w="0" w:type="auto"/>
            <w:hideMark/>
          </w:tcPr>
          <w:p w:rsidR="00000000" w:rsidRDefault="003E5AFF">
            <w:pPr>
              <w:rPr>
                <w:rFonts w:eastAsia="Times New Roman" w:cs="Times New Roman"/>
              </w:rPr>
            </w:pPr>
            <w:r>
              <w:rPr>
                <w:rFonts w:ascii="Arial" w:eastAsia="Times New Roman" w:hAnsi="Arial" w:cs="Arial"/>
              </w:rPr>
              <w:t xml:space="preserve">See _Risk Factors_ beginning on page 27 and the other information included in this prospectus for a discussion of factors you should consider before deciding to invest in our common stock. </w:t>
            </w:r>
          </w:p>
        </w:tc>
      </w:tr>
    </w:tbl>
    <w:p w:rsidR="00000000" w:rsidRDefault="003E5AFF">
      <w:pPr>
        <w:pStyle w:val="NormalWeb"/>
        <w:spacing w:before="120" w:beforeAutospacing="0" w:after="0" w:afterAutospacing="0"/>
        <w:divId w:val="1557668895"/>
      </w:pPr>
      <w:r>
        <w:rPr>
          <w:rFonts w:ascii="Arial" w:hAnsi="Arial" w:cs="Arial"/>
        </w:rPr>
        <w:t>Unless otherwise indicated, all information contained in this pros</w:t>
      </w:r>
      <w:r>
        <w:rPr>
          <w:rFonts w:ascii="Arial" w:hAnsi="Arial" w:cs="Arial"/>
        </w:rPr>
        <w:t xml:space="preserve">pectus assumes no exercise of the over-allotment option granted to the international underwriters. </w:t>
      </w:r>
    </w:p>
    <w:p w:rsidR="00000000" w:rsidRDefault="003E5AFF">
      <w:pPr>
        <w:pStyle w:val="NormalWeb"/>
        <w:spacing w:before="0" w:beforeAutospacing="0" w:after="0" w:afterAutospacing="0"/>
        <w:divId w:val="1557668895"/>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- 17 - </w:t>
      </w:r>
    </w:p>
    <w:p w:rsidR="00000000" w:rsidRDefault="003E5AFF">
      <w:pPr>
        <w:rPr>
          <w:rFonts w:eastAsia="Times New Roman" w:cs="Times New Roman"/>
        </w:rPr>
      </w:pPr>
      <w:r>
        <w:rPr>
          <w:rFonts w:eastAsia="Times New Roman" w:cs="Times New Roman"/>
        </w:rPr>
        <w:pict>
          <v:rect id="_x0000_i1051" style="width:441.9pt;height:3pt" o:hralign="center" o:hrstd="t" o:hrnoshade="t" o:hr="t" fillcolor="#999" stroked="f"/>
        </w:pict>
      </w:r>
    </w:p>
    <w:p w:rsidR="00000000" w:rsidRDefault="003E5AFF">
      <w:pPr>
        <w:pStyle w:val="Heading5"/>
        <w:rPr>
          <w:rFonts w:eastAsia="Times New Roman" w:cs="Times New Roman"/>
        </w:rPr>
      </w:pPr>
      <w:hyperlink r:id="rId6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divId w:val="1394699246"/>
      </w:pPr>
      <w:bookmarkStart w:id="4" w:name="rom343004_3"/>
      <w:bookmarkEnd w:id="4"/>
      <w:r>
        <w:rPr>
          <w:rFonts w:ascii="Arial" w:hAnsi="Arial" w:cs="Arial"/>
          <w:b/>
          <w:bCs/>
          <w:sz w:val="36"/>
          <w:szCs w:val="36"/>
        </w:rPr>
        <w:t xml:space="preserve">Summary financial and other information </w:t>
      </w:r>
    </w:p>
    <w:p w:rsidR="00000000" w:rsidRDefault="003E5AFF">
      <w:pPr>
        <w:pStyle w:val="NormalWeb"/>
        <w:spacing w:before="120" w:beforeAutospacing="0" w:after="0" w:afterAutospacing="0"/>
        <w:divId w:val="1394699246"/>
      </w:pPr>
      <w:r>
        <w:rPr>
          <w:rFonts w:ascii="Arial" w:hAnsi="Arial" w:cs="Arial"/>
        </w:rPr>
        <w:t>The following tables set forth our summary consolidate</w:t>
      </w:r>
      <w:r>
        <w:rPr>
          <w:rFonts w:ascii="Arial" w:hAnsi="Arial" w:cs="Arial"/>
        </w:rPr>
        <w:t>d financial information under the International Financial Reporting Standards (_IFRS_) issued by the International Accounting Standards Board (the _IASB_). The financial information as of March 31, 2012 and for the three months ended March 31, 2012 and 201</w:t>
      </w:r>
      <w:r>
        <w:rPr>
          <w:rFonts w:ascii="Arial" w:hAnsi="Arial" w:cs="Arial"/>
        </w:rPr>
        <w:t>1 has been derived from our Unaudited Interim Consolidated Financial Statements included elsewhere in this prospectus. The financial information as of December 31, 2011 and 2010 and for the years ended December 31, 2011, 2010 and 2009 has been derived from</w:t>
      </w:r>
      <w:r>
        <w:rPr>
          <w:rFonts w:ascii="Arial" w:hAnsi="Arial" w:cs="Arial"/>
        </w:rPr>
        <w:t xml:space="preserve"> our Audited Consolidated Financial Statements included elsewhere in this prospectus, which have been audited by PricewaterhouseCoopers </w:t>
      </w:r>
      <w:r>
        <w:rPr>
          <w:rFonts w:ascii="Arial" w:hAnsi="Arial" w:cs="Arial"/>
          <w:i/>
          <w:iCs/>
        </w:rPr>
        <w:t>Consultores, Auditores y Compa_ia Limitada</w:t>
      </w:r>
      <w:r>
        <w:rPr>
          <w:rFonts w:ascii="Arial" w:hAnsi="Arial" w:cs="Arial"/>
        </w:rPr>
        <w:t xml:space="preserve">, an independent registered public accounting firm. We maintain our books and </w:t>
      </w:r>
      <w:r>
        <w:rPr>
          <w:rFonts w:ascii="Arial" w:hAnsi="Arial" w:cs="Arial"/>
        </w:rPr>
        <w:t xml:space="preserve">records in Chilean pesos and prepare consolidated financial statements in accordance with IFRS. Our date of adoption of IFRS was January 1, 2010. The following financial and operating information should be read in conjunction with, and is qualified in its </w:t>
      </w:r>
      <w:r>
        <w:rPr>
          <w:rFonts w:ascii="Arial" w:hAnsi="Arial" w:cs="Arial"/>
        </w:rPr>
        <w:t xml:space="preserve">entirety by reference to, our Unaudited Interim Consolidated Financial Statements, our Audited Consolidated Financial Statements and the notes thereto included elsewhere in this prospectus. </w:t>
      </w:r>
    </w:p>
    <w:p w:rsidR="00000000" w:rsidRDefault="003E5AFF">
      <w:pPr>
        <w:pStyle w:val="NormalWeb"/>
        <w:spacing w:before="120" w:beforeAutospacing="0" w:after="0" w:afterAutospacing="0"/>
        <w:divId w:val="1394699246"/>
      </w:pPr>
      <w:r>
        <w:rPr>
          <w:rFonts w:ascii="Arial" w:hAnsi="Arial" w:cs="Arial"/>
        </w:rPr>
        <w:t xml:space="preserve">Unless otherwise noted, U.S. dollar amounts have been translated </w:t>
      </w:r>
      <w:r>
        <w:rPr>
          <w:rFonts w:ascii="Arial" w:hAnsi="Arial" w:cs="Arial"/>
        </w:rPr>
        <w:t xml:space="preserve">from Chilean pesos based on the d_lar </w:t>
      </w:r>
      <w:r>
        <w:rPr>
          <w:rFonts w:ascii="Arial" w:hAnsi="Arial" w:cs="Arial"/>
          <w:i/>
          <w:iCs/>
        </w:rPr>
        <w:t>observado</w:t>
      </w:r>
      <w:r>
        <w:rPr>
          <w:rFonts w:ascii="Arial" w:hAnsi="Arial" w:cs="Arial"/>
        </w:rPr>
        <w:t>, or observed exchange rate, of Ch$487.44 per U.S.$1.00 as of March 30, 2012 (the latest available date, as March 31, 2012 fell on a non-business day), as reported by the Chilean Central Bank. We make no repre</w:t>
      </w:r>
      <w:r>
        <w:rPr>
          <w:rFonts w:ascii="Arial" w:hAnsi="Arial" w:cs="Arial"/>
        </w:rPr>
        <w:t xml:space="preserve">sentation that the Chilean peso or the U.S. dollar amounts referred to herein actually represent, could have been or could be converted into U.S. dollars or Chilean pesos, as the case may be, at the rates indicated, at any particular rate or at all. </w:t>
      </w:r>
    </w:p>
    <w:p w:rsidR="00000000" w:rsidRDefault="003E5AFF">
      <w:pPr>
        <w:pStyle w:val="NormalWeb"/>
        <w:spacing w:before="120" w:beforeAutospacing="0" w:after="0" w:afterAutospacing="0"/>
        <w:divId w:val="1394699246"/>
      </w:pPr>
      <w:r>
        <w:rPr>
          <w:rFonts w:ascii="Arial" w:hAnsi="Arial" w:cs="Arial"/>
        </w:rPr>
        <w:t>In ou</w:t>
      </w:r>
      <w:r>
        <w:rPr>
          <w:rFonts w:ascii="Arial" w:hAnsi="Arial" w:cs="Arial"/>
        </w:rPr>
        <w:t>r opinion, the summary consolidated financial data presented in the tables below includes all adjustments necessary to present fairly in all material respects our financial condition and results of operations at the dates and the periods presented. The res</w:t>
      </w:r>
      <w:r>
        <w:rPr>
          <w:rFonts w:ascii="Arial" w:hAnsi="Arial" w:cs="Arial"/>
        </w:rPr>
        <w:t xml:space="preserve">ults of operations for the three months ended March 31, 2012 and for the years ended December 31, 2011, 2010 and 2009 are not necessarily indicative of future performance. </w:t>
      </w:r>
    </w:p>
    <w:p w:rsidR="00000000" w:rsidRDefault="003E5AFF">
      <w:pPr>
        <w:pStyle w:val="NormalWeb"/>
        <w:spacing w:before="0" w:beforeAutospacing="0" w:after="0" w:afterAutospacing="0"/>
        <w:divId w:val="1394699246"/>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978"/>
        <w:gridCol w:w="189"/>
        <w:gridCol w:w="81"/>
        <w:gridCol w:w="1219"/>
        <w:gridCol w:w="189"/>
        <w:gridCol w:w="189"/>
        <w:gridCol w:w="56"/>
        <w:gridCol w:w="957"/>
        <w:gridCol w:w="123"/>
        <w:gridCol w:w="189"/>
        <w:gridCol w:w="56"/>
        <w:gridCol w:w="957"/>
        <w:gridCol w:w="123"/>
      </w:tblGrid>
      <w:tr w:rsidR="00000000">
        <w:trPr>
          <w:divId w:val="1394699246"/>
          <w:jc w:val="center"/>
        </w:trPr>
        <w:tc>
          <w:tcPr>
            <w:tcW w:w="31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394699246"/>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394699246"/>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Income statement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394699246"/>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394699246"/>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394699246"/>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394699246"/>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394699246"/>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3,315.08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1,615,903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1,268,227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532.00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259,320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227,174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378.47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184,480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143,612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67.31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148.63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72,450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65,969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hideMark/>
          </w:tcPr>
          <w:p w:rsidR="00000000" w:rsidRDefault="003E5AFF">
            <w:pPr>
              <w:pStyle w:val="NormalWeb"/>
              <w:ind w:left="720" w:hanging="240"/>
            </w:pPr>
            <w:r>
              <w:rPr>
                <w:rFonts w:ascii="Arial" w:hAnsi="Arial" w:cs="Arial"/>
              </w:rPr>
              <w:t>Total 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4,449.59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2,168,909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1,738,634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394699246"/>
          <w:jc w:val="center"/>
        </w:trPr>
        <w:tc>
          <w:tcPr>
            <w:tcW w:w="0" w:type="auto"/>
            <w:shd w:val="clear" w:color="auto" w:fill="CCEEFF"/>
            <w:hideMark/>
          </w:tcPr>
          <w:p w:rsidR="00000000" w:rsidRDefault="003E5AFF">
            <w:pPr>
              <w:pStyle w:val="NormalWeb"/>
              <w:ind w:left="240" w:hanging="240"/>
            </w:pPr>
            <w:r>
              <w:rPr>
                <w:rFonts w:ascii="Arial" w:hAnsi="Arial" w:cs="Arial"/>
                <w:b/>
                <w:bCs/>
              </w:rPr>
              <w:t>Cost of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394699246"/>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(2,501.17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(1,219,171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(956,831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(365.01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(177,921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(157,150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(281.18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(137,057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(104,047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(10.46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(26,460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(14,503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(0.82</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hideMark/>
          </w:tcPr>
          <w:p w:rsidR="00000000" w:rsidRDefault="003E5AFF">
            <w:pPr>
              <w:pStyle w:val="NormalWeb"/>
              <w:ind w:left="720" w:hanging="240"/>
            </w:pPr>
            <w:r>
              <w:rPr>
                <w:rFonts w:ascii="Arial" w:hAnsi="Arial" w:cs="Arial"/>
              </w:rPr>
              <w:t>Total cost of 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(3,212.92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(1,566,107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(1,237,977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394699246"/>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394699246"/>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- 18 - </w:t>
      </w:r>
    </w:p>
    <w:p w:rsidR="00000000" w:rsidRDefault="003E5AFF">
      <w:pPr>
        <w:rPr>
          <w:rFonts w:eastAsia="Times New Roman" w:cs="Times New Roman"/>
        </w:rPr>
      </w:pPr>
      <w:r>
        <w:rPr>
          <w:rFonts w:eastAsia="Times New Roman" w:cs="Times New Roman"/>
        </w:rPr>
        <w:pict>
          <v:rect id="_x0000_i1052" style="width:441.9pt;height:3pt" o:hralign="center" o:hrstd="t" o:hrnoshade="t" o:hr="t" fillcolor="#999" stroked="f"/>
        </w:pict>
      </w:r>
    </w:p>
    <w:p w:rsidR="00000000" w:rsidRDefault="003E5AFF">
      <w:pPr>
        <w:pStyle w:val="Heading5"/>
        <w:rPr>
          <w:rFonts w:eastAsia="Times New Roman" w:cs="Times New Roman"/>
        </w:rPr>
      </w:pPr>
      <w:hyperlink r:id="rId69"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4298"/>
        <w:gridCol w:w="192"/>
        <w:gridCol w:w="87"/>
        <w:gridCol w:w="1213"/>
        <w:gridCol w:w="192"/>
        <w:gridCol w:w="193"/>
        <w:gridCol w:w="56"/>
        <w:gridCol w:w="790"/>
        <w:gridCol w:w="123"/>
        <w:gridCol w:w="193"/>
        <w:gridCol w:w="56"/>
        <w:gridCol w:w="790"/>
        <w:gridCol w:w="123"/>
      </w:tblGrid>
      <w:tr w:rsidR="00000000">
        <w:trPr>
          <w:divId w:val="1951431461"/>
          <w:jc w:val="center"/>
        </w:trPr>
        <w:tc>
          <w:tcPr>
            <w:tcW w:w="33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951431461"/>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51431461"/>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Income statement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51431461"/>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951431461"/>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51431461"/>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b/>
                <w:bCs/>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951431461"/>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813.91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396,732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311,397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166.99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81,398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97.29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47,423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39,565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56.85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94.35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45,990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51,466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720" w:hanging="240"/>
            </w:pPr>
            <w:r>
              <w:rPr>
                <w:rFonts w:ascii="Arial" w:hAnsi="Arial" w:cs="Arial"/>
              </w:rPr>
              <w:t>Total 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1,236.67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602,802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500,657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rPr>
              <w:t>Administrative expenses, distribution costs and other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(992.72</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(483,892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(382,052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240" w:hanging="240"/>
            </w:pPr>
            <w:r>
              <w:rPr>
                <w:rFonts w:ascii="Arial" w:hAnsi="Arial" w:cs="Arial"/>
              </w:rPr>
              <w:t>Other revenues by function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45.99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22,419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rPr>
              <w:t>Participation in earnings of associates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240" w:hanging="240"/>
            </w:pPr>
            <w:r>
              <w:rPr>
                <w:rFonts w:ascii="Arial" w:hAnsi="Arial" w:cs="Arial"/>
              </w:rPr>
              <w:t>Financial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rPr>
              <w:t>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(102.13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(49,784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(33,955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240" w:hanging="240"/>
            </w:pPr>
            <w:r>
              <w:rPr>
                <w:rFonts w:ascii="Arial" w:hAnsi="Arial" w:cs="Arial"/>
              </w:rPr>
              <w:t>Other earnings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(16.90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240" w:hanging="240"/>
            </w:pPr>
            <w:r>
              <w:rPr>
                <w:rFonts w:ascii="Arial" w:hAnsi="Arial" w:cs="Arial"/>
              </w:rPr>
              <w:t>(Losses) gains from indexation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rPr>
              <w:t>Income before taxes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174.76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85,186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94,246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(58.08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(28,311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116.88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56,875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68,859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rPr>
              <w:t>Profit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111.63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54,415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951431461"/>
          <w:jc w:val="center"/>
        </w:trPr>
        <w:tc>
          <w:tcPr>
            <w:tcW w:w="0" w:type="auto"/>
            <w:hideMark/>
          </w:tcPr>
          <w:p w:rsidR="00000000" w:rsidRDefault="003E5AFF">
            <w:pPr>
              <w:pStyle w:val="NormalWeb"/>
              <w:ind w:left="240" w:hanging="240"/>
            </w:pPr>
            <w:r>
              <w:rPr>
                <w:rFonts w:ascii="Arial" w:hAnsi="Arial" w:cs="Arial"/>
                <w:b/>
                <w:bCs/>
              </w:rPr>
              <w:t>Net earnings attributable to shareholders per share: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divId w:val="1951431461"/>
          <w:jc w:val="center"/>
        </w:trPr>
        <w:tc>
          <w:tcPr>
            <w:tcW w:w="0" w:type="auto"/>
            <w:shd w:val="clear" w:color="auto" w:fill="CCEEFF"/>
            <w:hideMark/>
          </w:tcPr>
          <w:p w:rsidR="00000000" w:rsidRDefault="003E5AFF">
            <w:pPr>
              <w:pStyle w:val="NormalWeb"/>
              <w:ind w:left="480" w:hanging="240"/>
            </w:pPr>
            <w:r>
              <w:rPr>
                <w:rFonts w:ascii="Arial" w:hAnsi="Arial" w:cs="Arial"/>
              </w:rPr>
              <w:t>Basic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480" w:hanging="240"/>
            </w:pPr>
            <w:r>
              <w:rPr>
                <w:rFonts w:ascii="Arial" w:hAnsi="Arial" w:cs="Arial"/>
              </w:rPr>
              <w:t>Diluted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951431461"/>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951431461"/>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the results of our Aventura entertainment centers, our loyalty programs and corporate back-office operations. See _Business_Other Operations._ </w:t>
            </w:r>
          </w:p>
        </w:tc>
      </w:tr>
    </w:tbl>
    <w:p w:rsidR="00000000" w:rsidRDefault="003E5AFF">
      <w:pPr>
        <w:pStyle w:val="NormalWeb"/>
        <w:spacing w:before="0" w:beforeAutospacing="0" w:after="0" w:afterAutospacing="0"/>
        <w:divId w:val="1951431461"/>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193"/>
        <w:gridCol w:w="115"/>
        <w:gridCol w:w="77"/>
        <w:gridCol w:w="1223"/>
        <w:gridCol w:w="120"/>
        <w:gridCol w:w="173"/>
        <w:gridCol w:w="56"/>
        <w:gridCol w:w="890"/>
        <w:gridCol w:w="112"/>
        <w:gridCol w:w="115"/>
        <w:gridCol w:w="56"/>
        <w:gridCol w:w="890"/>
        <w:gridCol w:w="112"/>
        <w:gridCol w:w="116"/>
        <w:gridCol w:w="56"/>
        <w:gridCol w:w="890"/>
        <w:gridCol w:w="112"/>
      </w:tblGrid>
      <w:tr w:rsidR="00000000">
        <w:trPr>
          <w:divId w:val="1951431461"/>
          <w:jc w:val="center"/>
        </w:trPr>
        <w:tc>
          <w:tcPr>
            <w:tcW w:w="27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951431461"/>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51431461"/>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Income statement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51431461"/>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951431461"/>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951431461"/>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951431461"/>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11,398.88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5,556,271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4,452,759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4,006,366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1,946.17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948,641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819,838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671,517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1,417.14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622,719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516,537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266.14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129,727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116,991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108,168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549.55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267,874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221,010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261,257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23.63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11,520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hideMark/>
          </w:tcPr>
          <w:p w:rsidR="00000000" w:rsidRDefault="003E5AFF">
            <w:pPr>
              <w:pStyle w:val="NormalWeb"/>
              <w:ind w:left="720" w:hanging="240"/>
            </w:pPr>
            <w:r>
              <w:rPr>
                <w:rFonts w:ascii="Arial" w:hAnsi="Arial" w:cs="Arial"/>
              </w:rPr>
              <w:t>Total 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15,601.52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7,604,806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6,236,974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5,565,246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951431461"/>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divId w:val="1951431461"/>
      </w:pPr>
      <w:r>
        <w:rPr>
          <w:sz w:val="15"/>
          <w:szCs w:val="15"/>
        </w:rPr>
        <w:t> </w:t>
      </w:r>
    </w:p>
    <w:p w:rsidR="00000000" w:rsidRDefault="003E5AFF">
      <w:pPr>
        <w:pStyle w:val="NormalWeb"/>
        <w:spacing w:before="0" w:beforeAutospacing="0" w:after="0" w:afterAutospacing="0"/>
        <w:divId w:val="1951431461"/>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- 19 - </w:t>
      </w:r>
    </w:p>
    <w:p w:rsidR="00000000" w:rsidRDefault="003E5AFF">
      <w:pPr>
        <w:rPr>
          <w:rFonts w:eastAsia="Times New Roman" w:cs="Times New Roman"/>
        </w:rPr>
      </w:pPr>
      <w:r>
        <w:rPr>
          <w:rFonts w:eastAsia="Times New Roman" w:cs="Times New Roman"/>
        </w:rPr>
        <w:pict>
          <v:rect id="_x0000_i1053" style="width:441.9pt;height:3pt" o:hralign="center" o:hrstd="t" o:hrnoshade="t" o:hr="t" fillcolor="#999" stroked="f"/>
        </w:pict>
      </w:r>
    </w:p>
    <w:p w:rsidR="00000000" w:rsidRDefault="003E5AFF">
      <w:pPr>
        <w:pStyle w:val="Heading5"/>
        <w:rPr>
          <w:rFonts w:eastAsia="Times New Roman" w:cs="Times New Roman"/>
        </w:rPr>
      </w:pPr>
      <w:hyperlink r:id="rId70"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2766"/>
        <w:gridCol w:w="111"/>
        <w:gridCol w:w="72"/>
        <w:gridCol w:w="1228"/>
        <w:gridCol w:w="123"/>
        <w:gridCol w:w="111"/>
        <w:gridCol w:w="96"/>
        <w:gridCol w:w="167"/>
        <w:gridCol w:w="56"/>
        <w:gridCol w:w="957"/>
        <w:gridCol w:w="123"/>
        <w:gridCol w:w="112"/>
        <w:gridCol w:w="56"/>
        <w:gridCol w:w="957"/>
        <w:gridCol w:w="123"/>
        <w:gridCol w:w="112"/>
        <w:gridCol w:w="56"/>
        <w:gridCol w:w="957"/>
        <w:gridCol w:w="123"/>
      </w:tblGrid>
      <w:tr w:rsidR="00000000">
        <w:trPr>
          <w:divId w:val="1242134286"/>
          <w:jc w:val="center"/>
        </w:trPr>
        <w:tc>
          <w:tcPr>
            <w:tcW w:w="24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242134286"/>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6"/>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242134286"/>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Income statement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242134286"/>
          <w:jc w:val="center"/>
        </w:trPr>
        <w:tc>
          <w:tcPr>
            <w:tcW w:w="0" w:type="auto"/>
            <w:gridSpan w:val="1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242134286"/>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24213428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b/>
                <w:bCs/>
              </w:rPr>
              <w:t>Cost of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242134286"/>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(8,570.62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(4,177,664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(3,355,796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(3,054,483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(1,328.04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(647,337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(561,006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(470,167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(1,024.56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(499,413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(446,769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(380,569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(17,858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(22,409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(85,632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(128,910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720" w:hanging="240"/>
            </w:pPr>
            <w:r>
              <w:rPr>
                <w:rFonts w:ascii="Arial" w:hAnsi="Arial" w:cs="Arial"/>
              </w:rPr>
              <w:t>Total cost of 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(11,149.92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(5,434,917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(4,457,229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(4,060,148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b/>
                <w:bCs/>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242134286"/>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2,828.26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1,378,607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1,096,963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951,883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618.13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301,303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258,832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201,351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392.58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191,359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175,950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135,968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226.24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373.88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182,242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150,552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132,348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720" w:hanging="240"/>
            </w:pPr>
            <w:r>
              <w:rPr>
                <w:rFonts w:ascii="Arial" w:hAnsi="Arial" w:cs="Arial"/>
              </w:rPr>
              <w:t>Total 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4,451,60  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2,169,890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1,779,745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1,505,098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rPr>
              <w:t>Administrative expenses, distribution costs and other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(3,424.78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(1,669,374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(1,371,074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(1,204,735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240" w:hanging="240"/>
            </w:pPr>
            <w:r>
              <w:rPr>
                <w:rFonts w:ascii="Arial" w:hAnsi="Arial" w:cs="Arial"/>
              </w:rPr>
              <w:t>Other revenues by function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174.64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85,128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43,871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rPr>
              <w:t>Participation in earnings of associates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240" w:hanging="240"/>
            </w:pPr>
            <w:r>
              <w:rPr>
                <w:rFonts w:ascii="Arial" w:hAnsi="Arial" w:cs="Arial"/>
              </w:rPr>
              <w:t>Financial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16,922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rPr>
              <w:t>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(144,136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(86,730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(93,422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240" w:hanging="240"/>
            </w:pPr>
            <w:r>
              <w:rPr>
                <w:rFonts w:ascii="Arial" w:hAnsi="Arial" w:cs="Arial"/>
              </w:rPr>
              <w:t>Other earnings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69,997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(9,876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240" w:hanging="240"/>
            </w:pPr>
            <w:r>
              <w:rPr>
                <w:rFonts w:ascii="Arial" w:hAnsi="Arial" w:cs="Arial"/>
              </w:rPr>
              <w:t>(Losses) gains from indexation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(31,289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12,957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rPr>
              <w:t>Income before taxes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417,982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383,311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301,446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(245.27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(119,556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612.23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298,426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306,481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247,546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25.67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12,511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rPr>
              <w:t>Profit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586.56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285,915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296,261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243,597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242134286"/>
          <w:jc w:val="center"/>
        </w:trPr>
        <w:tc>
          <w:tcPr>
            <w:tcW w:w="0" w:type="auto"/>
            <w:hideMark/>
          </w:tcPr>
          <w:p w:rsidR="00000000" w:rsidRDefault="003E5AFF">
            <w:pPr>
              <w:pStyle w:val="NormalWeb"/>
              <w:ind w:left="240" w:hanging="240"/>
            </w:pPr>
            <w:r>
              <w:rPr>
                <w:rFonts w:ascii="Arial" w:hAnsi="Arial" w:cs="Arial"/>
                <w:b/>
                <w:bCs/>
              </w:rPr>
              <w:t>Net earnings attributable to shareholders per share: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divId w:val="1242134286"/>
          <w:jc w:val="center"/>
        </w:trPr>
        <w:tc>
          <w:tcPr>
            <w:tcW w:w="0" w:type="auto"/>
            <w:shd w:val="clear" w:color="auto" w:fill="CCEEFF"/>
            <w:hideMark/>
          </w:tcPr>
          <w:p w:rsidR="00000000" w:rsidRDefault="003E5AFF">
            <w:pPr>
              <w:pStyle w:val="NormalWeb"/>
              <w:ind w:left="480" w:hanging="240"/>
            </w:pPr>
            <w:r>
              <w:rPr>
                <w:rFonts w:ascii="Arial" w:hAnsi="Arial" w:cs="Arial"/>
              </w:rPr>
              <w:t>Basic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hideMark/>
          </w:tcPr>
          <w:p w:rsidR="00000000" w:rsidRDefault="003E5AFF">
            <w:pPr>
              <w:pStyle w:val="NormalWeb"/>
              <w:ind w:left="480" w:hanging="240"/>
            </w:pPr>
            <w:r>
              <w:rPr>
                <w:rFonts w:ascii="Arial" w:hAnsi="Arial" w:cs="Arial"/>
              </w:rPr>
              <w:t>Diluted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242134286"/>
          <w:jc w:val="center"/>
        </w:trPr>
        <w:tc>
          <w:tcPr>
            <w:tcW w:w="0" w:type="auto"/>
            <w:shd w:val="clear" w:color="auto" w:fill="CCEEFF"/>
            <w:hideMark/>
          </w:tcPr>
          <w:p w:rsidR="00000000" w:rsidRDefault="003E5AFF">
            <w:pPr>
              <w:pStyle w:val="NormalWeb"/>
              <w:ind w:left="240" w:hanging="240"/>
            </w:pPr>
            <w:r>
              <w:rPr>
                <w:rFonts w:ascii="Arial" w:hAnsi="Arial" w:cs="Arial"/>
                <w:b/>
                <w:bCs/>
              </w:rPr>
              <w:t>Dividends per share: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1242134286"/>
          <w:jc w:val="center"/>
        </w:trPr>
        <w:tc>
          <w:tcPr>
            <w:tcW w:w="0" w:type="auto"/>
            <w:hideMark/>
          </w:tcPr>
          <w:p w:rsidR="00000000" w:rsidRDefault="003E5AFF">
            <w:pPr>
              <w:pStyle w:val="NormalWeb"/>
              <w:ind w:left="480" w:hanging="240"/>
            </w:pPr>
            <w:r>
              <w:rPr>
                <w:rFonts w:ascii="Arial" w:hAnsi="Arial" w:cs="Arial"/>
              </w:rPr>
              <w:t>Basic</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shd w:val="clear" w:color="auto" w:fill="CCEEFF"/>
            <w:hideMark/>
          </w:tcPr>
          <w:p w:rsidR="00000000" w:rsidRDefault="003E5AFF">
            <w:pPr>
              <w:pStyle w:val="NormalWeb"/>
              <w:ind w:left="480" w:hanging="240"/>
            </w:pPr>
            <w:r>
              <w:rPr>
                <w:rFonts w:ascii="Arial" w:hAnsi="Arial" w:cs="Arial"/>
              </w:rPr>
              <w:t>Diluted</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242134286"/>
          <w:jc w:val="center"/>
        </w:trPr>
        <w:tc>
          <w:tcPr>
            <w:tcW w:w="0" w:type="auto"/>
            <w:gridSpan w:val="1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242134286"/>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242134286"/>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the results of our Aventura entertainment centers, our loyalty programs and corporate back-office operations. See _Business_Other Operations._ </w:t>
            </w:r>
          </w:p>
        </w:tc>
      </w:tr>
    </w:tbl>
    <w:p w:rsidR="00000000" w:rsidRDefault="003E5AFF">
      <w:pPr>
        <w:pStyle w:val="NormalWeb"/>
        <w:spacing w:before="0" w:beforeAutospacing="0" w:after="0" w:afterAutospacing="0"/>
        <w:divId w:val="1242134286"/>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- 20 - </w:t>
      </w:r>
    </w:p>
    <w:p w:rsidR="00000000" w:rsidRDefault="003E5AFF">
      <w:pPr>
        <w:rPr>
          <w:rFonts w:eastAsia="Times New Roman" w:cs="Times New Roman"/>
        </w:rPr>
      </w:pPr>
      <w:r>
        <w:rPr>
          <w:rFonts w:eastAsia="Times New Roman" w:cs="Times New Roman"/>
        </w:rPr>
        <w:pict>
          <v:rect id="_x0000_i1054" style="width:441.9pt;height:3pt" o:hralign="center" o:hrstd="t" o:hrnoshade="t" o:hr="t" fillcolor="#999" stroked="f"/>
        </w:pict>
      </w:r>
    </w:p>
    <w:p w:rsidR="00000000" w:rsidRDefault="003E5AFF">
      <w:pPr>
        <w:pStyle w:val="Heading5"/>
        <w:rPr>
          <w:rFonts w:eastAsia="Times New Roman" w:cs="Times New Roman"/>
        </w:rPr>
      </w:pPr>
      <w:hyperlink r:id="rId71"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4205"/>
        <w:gridCol w:w="127"/>
        <w:gridCol w:w="63"/>
        <w:gridCol w:w="993"/>
        <w:gridCol w:w="128"/>
        <w:gridCol w:w="191"/>
        <w:gridCol w:w="56"/>
        <w:gridCol w:w="890"/>
        <w:gridCol w:w="112"/>
        <w:gridCol w:w="128"/>
        <w:gridCol w:w="77"/>
        <w:gridCol w:w="1224"/>
        <w:gridCol w:w="112"/>
      </w:tblGrid>
      <w:tr w:rsidR="00000000">
        <w:trPr>
          <w:divId w:val="960455562"/>
          <w:jc w:val="center"/>
        </w:trPr>
        <w:tc>
          <w:tcPr>
            <w:tcW w:w="33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960455562"/>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As of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As of</w:t>
            </w:r>
            <w:r>
              <w:rPr>
                <w:rFonts w:ascii="Arial" w:eastAsia="Times New Roman" w:hAnsi="Arial" w:cs="Arial"/>
                <w:b/>
                <w:bCs/>
              </w:rPr>
              <w:br/>
              <w:t>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Balance sheet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960455562"/>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pStyle w:val="NormalWeb"/>
              <w:spacing w:before="0" w:beforeAutospacing="0" w:after="0" w:afterAutospacing="0"/>
              <w:jc w:val="center"/>
            </w:pPr>
            <w:r>
              <w:rPr>
                <w:rFonts w:ascii="Arial" w:hAnsi="Arial" w:cs="Arial"/>
                <w:b/>
                <w:bCs/>
              </w:rPr>
              <w:t>(in millions</w:t>
            </w:r>
          </w:p>
          <w:p w:rsidR="00000000" w:rsidRDefault="003E5AFF">
            <w:pPr>
              <w:pStyle w:val="NormalWeb"/>
              <w:spacing w:before="0" w:beforeAutospacing="0" w:after="15" w:afterAutospacing="0"/>
              <w:jc w:val="center"/>
            </w:pPr>
            <w:r>
              <w:rPr>
                <w:rFonts w:ascii="Arial" w:hAnsi="Arial" w:cs="Arial"/>
                <w:b/>
                <w:bCs/>
              </w:rP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Total current assets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4,219.27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2,056,643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2,094,549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240" w:hanging="240"/>
            </w:pPr>
            <w:r>
              <w:rPr>
                <w:rFonts w:ascii="Arial" w:hAnsi="Arial" w:cs="Arial"/>
              </w:rPr>
              <w:t>Property, plant, equipment and investment property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7,457.69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3,635,175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3,570,432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Other assets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4,354.24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2,122,430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1,991,579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480" w:hanging="240"/>
            </w:pPr>
            <w:r>
              <w:rPr>
                <w:rFonts w:ascii="Arial" w:hAnsi="Arial" w:cs="Arial"/>
              </w:rPr>
              <w:t>Total assets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16,031.20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7,814,248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7,656,560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Total current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5,222.43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2,545,620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2,327,003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240" w:hanging="240"/>
            </w:pPr>
            <w:r>
              <w:rPr>
                <w:rFonts w:ascii="Arial" w:hAnsi="Arial" w:cs="Arial"/>
              </w:rPr>
              <w:t>Total non-current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4,814.91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2,346,982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2,359,924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480" w:hanging="240"/>
            </w:pPr>
            <w:r>
              <w:rPr>
                <w:rFonts w:ascii="Arial" w:hAnsi="Arial" w:cs="Arial"/>
              </w:rPr>
              <w:t>Total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10,037.34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4,892,603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4,686,927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240" w:hanging="240"/>
            </w:pPr>
            <w:r>
              <w:rPr>
                <w:rFonts w:ascii="Arial" w:hAnsi="Arial" w:cs="Arial"/>
              </w:rPr>
              <w:t>Non-controlling interest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174.06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84,844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95,196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Net equity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5,819.80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2,836,801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2,874,438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480" w:hanging="240"/>
            </w:pPr>
            <w:r>
              <w:rPr>
                <w:rFonts w:ascii="Arial" w:hAnsi="Arial" w:cs="Arial"/>
              </w:rPr>
              <w:t>Total net equity and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16,031.20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7,814,248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7,656,561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960455562"/>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348"/>
        <w:gridCol w:w="38"/>
        <w:gridCol w:w="63"/>
        <w:gridCol w:w="993"/>
        <w:gridCol w:w="120"/>
        <w:gridCol w:w="83"/>
        <w:gridCol w:w="56"/>
        <w:gridCol w:w="890"/>
        <w:gridCol w:w="112"/>
        <w:gridCol w:w="75"/>
        <w:gridCol w:w="56"/>
        <w:gridCol w:w="890"/>
        <w:gridCol w:w="112"/>
        <w:gridCol w:w="75"/>
        <w:gridCol w:w="56"/>
        <w:gridCol w:w="890"/>
        <w:gridCol w:w="112"/>
      </w:tblGrid>
      <w:tr w:rsidR="00000000">
        <w:trPr>
          <w:divId w:val="960455562"/>
          <w:jc w:val="center"/>
        </w:trPr>
        <w:tc>
          <w:tcPr>
            <w:tcW w:w="295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960455562"/>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As of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Balance sheet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960455562"/>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pStyle w:val="NormalWeb"/>
              <w:spacing w:before="0" w:beforeAutospacing="0" w:after="0" w:afterAutospacing="0"/>
              <w:jc w:val="center"/>
            </w:pPr>
            <w:r>
              <w:rPr>
                <w:rFonts w:ascii="Arial" w:hAnsi="Arial" w:cs="Arial"/>
                <w:b/>
                <w:bCs/>
              </w:rPr>
              <w:t>(in millions</w:t>
            </w:r>
          </w:p>
          <w:p w:rsidR="00000000" w:rsidRDefault="003E5AFF">
            <w:pPr>
              <w:pStyle w:val="NormalWeb"/>
              <w:spacing w:before="0" w:beforeAutospacing="0" w:after="15" w:afterAutospacing="0"/>
              <w:jc w:val="center"/>
            </w:pPr>
            <w:r>
              <w:rPr>
                <w:rFonts w:ascii="Arial" w:hAnsi="Arial" w:cs="Arial"/>
                <w:b/>
                <w:bCs/>
              </w:rP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Total current assets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4,297.04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2,094,549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1,582,309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1,430,778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240" w:hanging="240"/>
            </w:pPr>
            <w:r>
              <w:rPr>
                <w:rFonts w:ascii="Arial" w:hAnsi="Arial" w:cs="Arial"/>
              </w:rPr>
              <w:t>Property, plant, equipment and investment property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7,324.86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3,570,432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2,913,644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2,715,227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Other assets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4,085.79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1,991,579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1,839,516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1,439,654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480" w:hanging="240"/>
            </w:pPr>
            <w:r>
              <w:rPr>
                <w:rFonts w:ascii="Arial" w:hAnsi="Arial" w:cs="Arial"/>
              </w:rPr>
              <w:t>Total assets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15,707.70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7,656,561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6,335,469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5,585,659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Total current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4,773.93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2,327,003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1,919,094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1,453,160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240" w:hanging="240"/>
            </w:pPr>
            <w:r>
              <w:rPr>
                <w:rFonts w:ascii="Arial" w:hAnsi="Arial" w:cs="Arial"/>
              </w:rPr>
              <w:t>Total non-current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4,841.47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2,359,924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1,726,781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1,553,371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480" w:hanging="240"/>
            </w:pPr>
            <w:r>
              <w:rPr>
                <w:rFonts w:ascii="Arial" w:hAnsi="Arial" w:cs="Arial"/>
              </w:rPr>
              <w:t>Total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9,615.39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4,686,927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3,645,876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3,006,532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240" w:hanging="240"/>
            </w:pPr>
            <w:r>
              <w:rPr>
                <w:rFonts w:ascii="Arial" w:hAnsi="Arial" w:cs="Arial"/>
              </w:rPr>
              <w:t>Non-controlling interest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195.30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95,196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74,886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76,348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Net equity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5,897.01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2,874,438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2,614,707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2,502,778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480" w:hanging="240"/>
            </w:pPr>
            <w:r>
              <w:rPr>
                <w:rFonts w:ascii="Arial" w:hAnsi="Arial" w:cs="Arial"/>
              </w:rPr>
              <w:t>Total net equity and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15,707.70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7,656,561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6,335,469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5,585,659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960455562"/>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711"/>
        <w:gridCol w:w="133"/>
        <w:gridCol w:w="81"/>
        <w:gridCol w:w="975"/>
        <w:gridCol w:w="133"/>
        <w:gridCol w:w="133"/>
        <w:gridCol w:w="60"/>
        <w:gridCol w:w="824"/>
        <w:gridCol w:w="130"/>
        <w:gridCol w:w="133"/>
        <w:gridCol w:w="60"/>
        <w:gridCol w:w="810"/>
        <w:gridCol w:w="123"/>
      </w:tblGrid>
      <w:tr w:rsidR="00000000">
        <w:trPr>
          <w:divId w:val="960455562"/>
          <w:jc w:val="center"/>
        </w:trPr>
        <w:tc>
          <w:tcPr>
            <w:tcW w:w="35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960455562"/>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Other financial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960455562"/>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pStyle w:val="NormalWeb"/>
              <w:spacing w:before="0" w:beforeAutospacing="0" w:after="0" w:afterAutospacing="0"/>
              <w:jc w:val="center"/>
            </w:pPr>
            <w:r>
              <w:rPr>
                <w:rFonts w:ascii="Arial" w:hAnsi="Arial" w:cs="Arial"/>
                <w:b/>
                <w:bCs/>
              </w:rPr>
              <w:t>(in millions</w:t>
            </w:r>
          </w:p>
          <w:p w:rsidR="00000000" w:rsidRDefault="003E5AFF">
            <w:pPr>
              <w:pStyle w:val="NormalWeb"/>
              <w:spacing w:before="0" w:beforeAutospacing="0" w:after="15" w:afterAutospacing="0"/>
              <w:jc w:val="center"/>
            </w:pPr>
            <w:r>
              <w:rPr>
                <w:rFonts w:ascii="Arial" w:hAnsi="Arial" w:cs="Arial"/>
                <w:b/>
                <w:bCs/>
              </w:rP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b/>
                <w:bCs/>
              </w:rPr>
              <w:t>Cash Flow Data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960455562"/>
          <w:jc w:val="center"/>
        </w:trPr>
        <w:tc>
          <w:tcPr>
            <w:tcW w:w="0" w:type="auto"/>
            <w:hideMark/>
          </w:tcPr>
          <w:p w:rsidR="00000000" w:rsidRDefault="003E5AFF">
            <w:pPr>
              <w:pStyle w:val="NormalWeb"/>
              <w:ind w:left="240" w:hanging="240"/>
            </w:pPr>
            <w:r>
              <w:rPr>
                <w:rFonts w:ascii="Arial" w:hAnsi="Arial" w:cs="Arial"/>
                <w:u w:val="single"/>
              </w:rPr>
              <w:t>Net cash provided by (used 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960455562"/>
          <w:jc w:val="center"/>
        </w:trPr>
        <w:tc>
          <w:tcPr>
            <w:tcW w:w="0" w:type="auto"/>
            <w:shd w:val="clear" w:color="auto" w:fill="CCEEFF"/>
            <w:hideMark/>
          </w:tcPr>
          <w:p w:rsidR="00000000" w:rsidRDefault="003E5AFF">
            <w:pPr>
              <w:pStyle w:val="NormalWeb"/>
              <w:ind w:left="480" w:hanging="240"/>
            </w:pPr>
            <w:r>
              <w:rPr>
                <w:rFonts w:ascii="Arial" w:hAnsi="Arial" w:cs="Arial"/>
              </w:rPr>
              <w:t>Operating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49.44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(12,578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480" w:hanging="240"/>
            </w:pPr>
            <w:r>
              <w:rPr>
                <w:rFonts w:ascii="Arial" w:hAnsi="Arial" w:cs="Arial"/>
              </w:rPr>
              <w:t xml:space="preserve">Investing activities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(510.37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(248,779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(222,274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480" w:hanging="240"/>
            </w:pPr>
            <w:r>
              <w:rPr>
                <w:rFonts w:ascii="Arial" w:hAnsi="Arial" w:cs="Arial"/>
              </w:rPr>
              <w:t>Financing activities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372.77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181,703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220,981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960455562"/>
          <w:jc w:val="center"/>
        </w:trPr>
        <w:tc>
          <w:tcPr>
            <w:tcW w:w="0" w:type="auto"/>
            <w:hideMark/>
          </w:tcPr>
          <w:p w:rsidR="00000000" w:rsidRDefault="003E5AFF">
            <w:pPr>
              <w:pStyle w:val="NormalWeb"/>
              <w:ind w:left="240" w:hanging="240"/>
            </w:pPr>
            <w:r>
              <w:rPr>
                <w:rFonts w:ascii="Arial" w:hAnsi="Arial" w:cs="Arial"/>
                <w:b/>
                <w:bCs/>
              </w:rPr>
              <w:t>Other Financial Information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Capital expenditures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(297.94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(145,228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(99,776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240" w:hanging="240"/>
            </w:pPr>
            <w:r>
              <w:rPr>
                <w:rFonts w:ascii="Arial" w:hAnsi="Arial" w:cs="Arial"/>
              </w:rPr>
              <w:t>Depreciation and amortization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65.64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31,995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29,513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Adjusted EBITDA(2)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297.94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145,231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151,806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960455562"/>
          <w:jc w:val="center"/>
        </w:trPr>
        <w:tc>
          <w:tcPr>
            <w:tcW w:w="0" w:type="auto"/>
            <w:hideMark/>
          </w:tcPr>
          <w:p w:rsidR="00000000" w:rsidRDefault="003E5AFF">
            <w:pPr>
              <w:pStyle w:val="NormalWeb"/>
              <w:ind w:left="240" w:hanging="240"/>
            </w:pPr>
            <w:r>
              <w:rPr>
                <w:rFonts w:ascii="Arial" w:hAnsi="Arial" w:cs="Arial"/>
                <w:b/>
                <w:bCs/>
              </w:rPr>
              <w:t>Financial Ratios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tcBorders>
              <w:right w:val="single" w:sz="6" w:space="0" w:color="000000"/>
            </w:tcBorders>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 xml:space="preserve">Gross margin(3)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hideMark/>
          </w:tcPr>
          <w:p w:rsidR="00000000" w:rsidRDefault="003E5AFF">
            <w:pPr>
              <w:pStyle w:val="NormalWeb"/>
              <w:ind w:left="240" w:hanging="240"/>
            </w:pPr>
            <w:r>
              <w:rPr>
                <w:rFonts w:ascii="Arial" w:hAnsi="Arial" w:cs="Arial"/>
              </w:rPr>
              <w:t>Net margin(4)</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shd w:val="clear" w:color="auto" w:fill="CCEEFF"/>
            <w:hideMark/>
          </w:tcPr>
          <w:p w:rsidR="00000000" w:rsidRDefault="003E5AFF">
            <w:pPr>
              <w:pStyle w:val="NormalWeb"/>
              <w:ind w:left="240" w:hanging="240"/>
            </w:pPr>
            <w:r>
              <w:rPr>
                <w:rFonts w:ascii="Arial" w:hAnsi="Arial" w:cs="Arial"/>
              </w:rPr>
              <w:t>Current ratio(5)</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0.81x</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0.81x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0.90x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60455562"/>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960455562"/>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960455562"/>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ratios, numbers of stores, employees and selling space. </w:t>
            </w:r>
          </w:p>
        </w:tc>
      </w:tr>
    </w:tbl>
    <w:p w:rsidR="00000000" w:rsidRDefault="003E5AFF">
      <w:pPr>
        <w:pStyle w:val="NormalWeb"/>
        <w:spacing w:before="0" w:beforeAutospacing="0" w:after="0" w:afterAutospacing="0"/>
        <w:divId w:val="960455562"/>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960455562"/>
        </w:trPr>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0" w:beforeAutospacing="0" w:after="0" w:afterAutospacing="0"/>
        <w:divId w:val="960455562"/>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- 21 - </w:t>
      </w:r>
    </w:p>
    <w:p w:rsidR="00000000" w:rsidRDefault="003E5AFF">
      <w:pPr>
        <w:rPr>
          <w:rFonts w:eastAsia="Times New Roman" w:cs="Times New Roman"/>
        </w:rPr>
      </w:pPr>
      <w:r>
        <w:rPr>
          <w:rFonts w:eastAsia="Times New Roman" w:cs="Times New Roman"/>
        </w:rPr>
        <w:pict>
          <v:rect id="_x0000_i1055" style="width:441.9pt;height:3pt" o:hralign="center" o:hrstd="t" o:hrnoshade="t" o:hr="t" fillcolor="#999" stroked="f"/>
        </w:pict>
      </w:r>
    </w:p>
    <w:p w:rsidR="00000000" w:rsidRDefault="003E5AFF">
      <w:pPr>
        <w:pStyle w:val="Heading5"/>
        <w:rPr>
          <w:rFonts w:eastAsia="Times New Roman" w:cs="Times New Roman"/>
        </w:rPr>
      </w:pPr>
      <w:hyperlink r:id="rId72"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2136288358"/>
        </w:trPr>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gross margin divided by consolidated revenues from ordinary activities. </w:t>
            </w:r>
          </w:p>
        </w:tc>
      </w:tr>
    </w:tbl>
    <w:p w:rsidR="00000000" w:rsidRDefault="003E5AFF">
      <w:pPr>
        <w:pStyle w:val="NormalWeb"/>
        <w:spacing w:before="0" w:beforeAutospacing="0" w:after="0" w:afterAutospacing="0"/>
        <w:divId w:val="2136288358"/>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2136288358"/>
        </w:trPr>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net income divided by consolidated revenues from ordinary activities. </w:t>
            </w:r>
          </w:p>
        </w:tc>
      </w:tr>
    </w:tbl>
    <w:p w:rsidR="00000000" w:rsidRDefault="003E5AFF">
      <w:pPr>
        <w:pStyle w:val="NormalWeb"/>
        <w:spacing w:before="0" w:beforeAutospacing="0" w:after="0" w:afterAutospacing="0"/>
        <w:divId w:val="2136288358"/>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2136288358"/>
        </w:trPr>
        <w:tc>
          <w:tcPr>
            <w:tcW w:w="100" w:type="pct"/>
            <w:hideMark/>
          </w:tcPr>
          <w:p w:rsidR="00000000" w:rsidRDefault="003E5AFF">
            <w:pPr>
              <w:rPr>
                <w:rFonts w:eastAsia="Times New Roman" w:cs="Times New Roman"/>
              </w:rPr>
            </w:pPr>
            <w:r>
              <w:rPr>
                <w:rFonts w:ascii="Arial" w:eastAsia="Times New Roman" w:hAnsi="Arial" w:cs="Arial"/>
                <w:sz w:val="15"/>
                <w:szCs w:val="15"/>
              </w:rPr>
              <w:t>(5)</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current assets divided by consolidated current liabilities. </w:t>
            </w:r>
          </w:p>
        </w:tc>
      </w:tr>
    </w:tbl>
    <w:p w:rsidR="00000000" w:rsidRDefault="003E5AFF">
      <w:pPr>
        <w:pStyle w:val="NormalWeb"/>
        <w:spacing w:before="0" w:beforeAutospacing="0" w:after="0" w:afterAutospacing="0"/>
        <w:divId w:val="2136288358"/>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234"/>
        <w:gridCol w:w="173"/>
        <w:gridCol w:w="81"/>
        <w:gridCol w:w="1219"/>
        <w:gridCol w:w="173"/>
        <w:gridCol w:w="173"/>
        <w:gridCol w:w="56"/>
        <w:gridCol w:w="790"/>
        <w:gridCol w:w="123"/>
        <w:gridCol w:w="173"/>
        <w:gridCol w:w="56"/>
        <w:gridCol w:w="790"/>
        <w:gridCol w:w="123"/>
        <w:gridCol w:w="173"/>
        <w:gridCol w:w="56"/>
        <w:gridCol w:w="790"/>
        <w:gridCol w:w="123"/>
      </w:tblGrid>
      <w:tr w:rsidR="00000000">
        <w:trPr>
          <w:divId w:val="2136288358"/>
          <w:jc w:val="center"/>
        </w:trPr>
        <w:tc>
          <w:tcPr>
            <w:tcW w:w="28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2136288358"/>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w:t>
            </w:r>
            <w:r>
              <w:rPr>
                <w:rFonts w:ascii="Arial" w:eastAsia="Times New Roman" w:hAnsi="Arial" w:cs="Arial"/>
                <w:b/>
                <w:bCs/>
              </w:rPr>
              <w:t>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2136288358"/>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Other financial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2136288358"/>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2136288358"/>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2136288358"/>
          <w:jc w:val="center"/>
        </w:trPr>
        <w:tc>
          <w:tcPr>
            <w:tcW w:w="0" w:type="auto"/>
            <w:shd w:val="clear" w:color="auto" w:fill="CCEEFF"/>
            <w:hideMark/>
          </w:tcPr>
          <w:p w:rsidR="00000000" w:rsidRDefault="003E5AFF">
            <w:pPr>
              <w:pStyle w:val="NormalWeb"/>
              <w:ind w:left="240" w:hanging="240"/>
            </w:pPr>
            <w:r>
              <w:rPr>
                <w:rFonts w:ascii="Arial" w:hAnsi="Arial" w:cs="Arial"/>
                <w:b/>
                <w:bCs/>
              </w:rPr>
              <w:t>Cash Flow Data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2136288358"/>
          <w:jc w:val="center"/>
        </w:trPr>
        <w:tc>
          <w:tcPr>
            <w:tcW w:w="0" w:type="auto"/>
            <w:hideMark/>
          </w:tcPr>
          <w:p w:rsidR="00000000" w:rsidRDefault="003E5AFF">
            <w:pPr>
              <w:pStyle w:val="NormalWeb"/>
              <w:ind w:left="240" w:hanging="240"/>
            </w:pPr>
            <w:r>
              <w:rPr>
                <w:rFonts w:ascii="Arial" w:hAnsi="Arial" w:cs="Arial"/>
                <w:u w:val="single"/>
              </w:rPr>
              <w:t>Net cash provided by (used 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2136288358"/>
          <w:jc w:val="center"/>
        </w:trPr>
        <w:tc>
          <w:tcPr>
            <w:tcW w:w="0" w:type="auto"/>
            <w:shd w:val="clear" w:color="auto" w:fill="CCEEFF"/>
            <w:hideMark/>
          </w:tcPr>
          <w:p w:rsidR="00000000" w:rsidRDefault="003E5AFF">
            <w:pPr>
              <w:pStyle w:val="NormalWeb"/>
              <w:ind w:left="480" w:hanging="240"/>
            </w:pPr>
            <w:r>
              <w:rPr>
                <w:rFonts w:ascii="Arial" w:hAnsi="Arial" w:cs="Arial"/>
              </w:rPr>
              <w:t>Operating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1,164.74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567,739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407,174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675,653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hideMark/>
          </w:tcPr>
          <w:p w:rsidR="00000000" w:rsidRDefault="003E5AFF">
            <w:pPr>
              <w:pStyle w:val="NormalWeb"/>
              <w:ind w:left="480" w:hanging="240"/>
            </w:pPr>
            <w:r>
              <w:rPr>
                <w:rFonts w:ascii="Arial" w:hAnsi="Arial" w:cs="Arial"/>
              </w:rPr>
              <w:t>Investing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(1,279.13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(623,499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(413,676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(430,959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shd w:val="clear" w:color="auto" w:fill="CCEEFF"/>
            <w:hideMark/>
          </w:tcPr>
          <w:p w:rsidR="00000000" w:rsidRDefault="003E5AFF">
            <w:pPr>
              <w:pStyle w:val="NormalWeb"/>
              <w:ind w:left="480" w:hanging="240"/>
            </w:pPr>
            <w:r>
              <w:rPr>
                <w:rFonts w:ascii="Arial" w:hAnsi="Arial" w:cs="Arial"/>
              </w:rPr>
              <w:t>Financing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183.83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89,607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(243,236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2136288358"/>
          <w:jc w:val="center"/>
        </w:trPr>
        <w:tc>
          <w:tcPr>
            <w:tcW w:w="0" w:type="auto"/>
            <w:hideMark/>
          </w:tcPr>
          <w:p w:rsidR="00000000" w:rsidRDefault="003E5AFF">
            <w:pPr>
              <w:pStyle w:val="NormalWeb"/>
              <w:ind w:left="240" w:hanging="240"/>
            </w:pPr>
            <w:r>
              <w:rPr>
                <w:rFonts w:ascii="Arial" w:hAnsi="Arial" w:cs="Arial"/>
                <w:b/>
                <w:bCs/>
              </w:rPr>
              <w:t>Other Financial Information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divId w:val="2136288358"/>
          <w:jc w:val="center"/>
        </w:trPr>
        <w:tc>
          <w:tcPr>
            <w:tcW w:w="0" w:type="auto"/>
            <w:shd w:val="clear" w:color="auto" w:fill="CCEEFF"/>
            <w:hideMark/>
          </w:tcPr>
          <w:p w:rsidR="00000000" w:rsidRDefault="003E5AFF">
            <w:pPr>
              <w:pStyle w:val="NormalWeb"/>
              <w:ind w:left="240" w:hanging="240"/>
            </w:pPr>
            <w:r>
              <w:rPr>
                <w:rFonts w:ascii="Arial" w:hAnsi="Arial" w:cs="Arial"/>
              </w:rPr>
              <w:t>Capital expenditures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(1,264.43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(616,336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(349,793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(191,136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hideMark/>
          </w:tcPr>
          <w:p w:rsidR="00000000" w:rsidRDefault="003E5AFF">
            <w:pPr>
              <w:pStyle w:val="NormalWeb"/>
              <w:ind w:left="240" w:hanging="240"/>
            </w:pPr>
            <w:r>
              <w:rPr>
                <w:rFonts w:ascii="Arial" w:hAnsi="Arial" w:cs="Arial"/>
              </w:rPr>
              <w:t>Depreciation and amortization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246.54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120,174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102,310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101,533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shd w:val="clear" w:color="auto" w:fill="CCEEFF"/>
            <w:hideMark/>
          </w:tcPr>
          <w:p w:rsidR="00000000" w:rsidRDefault="003E5AFF">
            <w:pPr>
              <w:pStyle w:val="NormalWeb"/>
              <w:ind w:left="240" w:hanging="240"/>
            </w:pPr>
            <w:r>
              <w:rPr>
                <w:rFonts w:ascii="Arial" w:hAnsi="Arial" w:cs="Arial"/>
              </w:rPr>
              <w:t>Adjusted EBITDA(2)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1,284.55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626,141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535,565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478,976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2136288358"/>
          <w:jc w:val="center"/>
        </w:trPr>
        <w:tc>
          <w:tcPr>
            <w:tcW w:w="0" w:type="auto"/>
            <w:hideMark/>
          </w:tcPr>
          <w:p w:rsidR="00000000" w:rsidRDefault="003E5AFF">
            <w:pPr>
              <w:pStyle w:val="NormalWeb"/>
              <w:ind w:left="240" w:hanging="240"/>
            </w:pPr>
            <w:r>
              <w:rPr>
                <w:rFonts w:ascii="Arial" w:hAnsi="Arial" w:cs="Arial"/>
                <w:b/>
                <w:bCs/>
              </w:rPr>
              <w:t>Financial Ratios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divId w:val="2136288358"/>
          <w:jc w:val="center"/>
        </w:trPr>
        <w:tc>
          <w:tcPr>
            <w:tcW w:w="0" w:type="auto"/>
            <w:shd w:val="clear" w:color="auto" w:fill="CCEEFF"/>
            <w:hideMark/>
          </w:tcPr>
          <w:p w:rsidR="00000000" w:rsidRDefault="003E5AFF">
            <w:pPr>
              <w:pStyle w:val="NormalWeb"/>
              <w:ind w:left="240" w:hanging="240"/>
            </w:pPr>
            <w:r>
              <w:rPr>
                <w:rFonts w:ascii="Arial" w:hAnsi="Arial" w:cs="Arial"/>
              </w:rPr>
              <w:t>Gross margin(3)</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hideMark/>
          </w:tcPr>
          <w:p w:rsidR="00000000" w:rsidRDefault="003E5AFF">
            <w:pPr>
              <w:pStyle w:val="NormalWeb"/>
              <w:ind w:left="240" w:hanging="240"/>
            </w:pPr>
            <w:r>
              <w:rPr>
                <w:rFonts w:ascii="Arial" w:hAnsi="Arial" w:cs="Arial"/>
              </w:rPr>
              <w:t>Net margin(5)</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shd w:val="clear" w:color="auto" w:fill="CCEEFF"/>
            <w:hideMark/>
          </w:tcPr>
          <w:p w:rsidR="00000000" w:rsidRDefault="003E5AFF">
            <w:pPr>
              <w:pStyle w:val="NormalWeb"/>
              <w:ind w:left="240" w:hanging="240"/>
            </w:pPr>
            <w:r>
              <w:rPr>
                <w:rFonts w:ascii="Arial" w:hAnsi="Arial" w:cs="Arial"/>
              </w:rPr>
              <w:t>Current ratio(6)</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0.90x</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0.90x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0.82x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0.98x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2136288358"/>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2136288358"/>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ratios, numbers of stores, employees and selling space. </w:t>
            </w:r>
          </w:p>
        </w:tc>
      </w:tr>
    </w:tbl>
    <w:p w:rsidR="00000000" w:rsidRDefault="003E5AFF">
      <w:pPr>
        <w:pStyle w:val="NormalWeb"/>
        <w:spacing w:before="0" w:beforeAutospacing="0" w:after="0" w:afterAutospacing="0"/>
        <w:divId w:val="2136288358"/>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2136288358"/>
        </w:trPr>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0" w:beforeAutospacing="0" w:after="0" w:afterAutospacing="0"/>
        <w:divId w:val="2136288358"/>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2136288358"/>
        </w:trPr>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gross margin divided by consolidated revenues from ordinary activities. </w:t>
            </w:r>
          </w:p>
        </w:tc>
      </w:tr>
    </w:tbl>
    <w:p w:rsidR="00000000" w:rsidRDefault="003E5AFF">
      <w:pPr>
        <w:pStyle w:val="NormalWeb"/>
        <w:spacing w:before="0" w:beforeAutospacing="0" w:after="0" w:afterAutospacing="0"/>
        <w:divId w:val="2136288358"/>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2136288358"/>
        </w:trPr>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net income divided by consolidated revenues from ordinary activities. </w:t>
            </w:r>
          </w:p>
        </w:tc>
      </w:tr>
    </w:tbl>
    <w:p w:rsidR="00000000" w:rsidRDefault="003E5AFF">
      <w:pPr>
        <w:pStyle w:val="NormalWeb"/>
        <w:spacing w:before="0" w:beforeAutospacing="0" w:after="0" w:afterAutospacing="0"/>
        <w:divId w:val="2136288358"/>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2136288358"/>
        </w:trPr>
        <w:tc>
          <w:tcPr>
            <w:tcW w:w="100" w:type="pct"/>
            <w:hideMark/>
          </w:tcPr>
          <w:p w:rsidR="00000000" w:rsidRDefault="003E5AFF">
            <w:pPr>
              <w:rPr>
                <w:rFonts w:eastAsia="Times New Roman" w:cs="Times New Roman"/>
              </w:rPr>
            </w:pPr>
            <w:r>
              <w:rPr>
                <w:rFonts w:ascii="Arial" w:eastAsia="Times New Roman" w:hAnsi="Arial" w:cs="Arial"/>
                <w:sz w:val="15"/>
                <w:szCs w:val="15"/>
              </w:rPr>
              <w:t>(5)</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current assets divided by consolidated current liabilities. </w:t>
            </w:r>
          </w:p>
        </w:tc>
      </w:tr>
    </w:tbl>
    <w:p w:rsidR="00000000" w:rsidRDefault="003E5AFF">
      <w:pPr>
        <w:pStyle w:val="NormalWeb"/>
        <w:spacing w:before="0" w:beforeAutospacing="0" w:after="0" w:afterAutospacing="0"/>
        <w:divId w:val="2136288358"/>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130"/>
        <w:gridCol w:w="243"/>
        <w:gridCol w:w="117"/>
        <w:gridCol w:w="1183"/>
        <w:gridCol w:w="243"/>
        <w:gridCol w:w="304"/>
        <w:gridCol w:w="65"/>
        <w:gridCol w:w="721"/>
        <w:gridCol w:w="132"/>
        <w:gridCol w:w="243"/>
        <w:gridCol w:w="63"/>
        <w:gridCol w:w="750"/>
        <w:gridCol w:w="112"/>
      </w:tblGrid>
      <w:tr w:rsidR="00000000">
        <w:trPr>
          <w:divId w:val="2136288358"/>
          <w:jc w:val="center"/>
        </w:trPr>
        <w:tc>
          <w:tcPr>
            <w:tcW w:w="340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2136288358"/>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2136288358"/>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Comprehensive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2136288358"/>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2136288358"/>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2136288358"/>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2136288358"/>
          <w:jc w:val="center"/>
        </w:trPr>
        <w:tc>
          <w:tcPr>
            <w:tcW w:w="0" w:type="auto"/>
            <w:shd w:val="clear" w:color="auto" w:fill="CCEEFF"/>
            <w:hideMark/>
          </w:tcPr>
          <w:p w:rsidR="00000000" w:rsidRDefault="003E5AFF">
            <w:pPr>
              <w:pStyle w:val="NormalWeb"/>
              <w:ind w:left="240" w:hanging="240"/>
            </w:pPr>
            <w:r>
              <w:rPr>
                <w:rFonts w:ascii="Arial" w:hAnsi="Arial" w:cs="Arial"/>
              </w:rPr>
              <w:t>Comprehensive income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(64.40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(31,393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102,038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hideMark/>
          </w:tcPr>
          <w:p w:rsidR="00000000" w:rsidRDefault="003E5AFF">
            <w:pPr>
              <w:pStyle w:val="NormalWeb"/>
              <w:ind w:left="240" w:hanging="240"/>
            </w:pPr>
            <w:r>
              <w:rPr>
                <w:rFonts w:ascii="Arial" w:hAnsi="Arial" w:cs="Arial"/>
              </w:rPr>
              <w:t>Comprehensive income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shd w:val="clear" w:color="auto" w:fill="CCEEFF"/>
            <w:hideMark/>
          </w:tcPr>
          <w:p w:rsidR="00000000" w:rsidRDefault="003E5AFF">
            <w:pPr>
              <w:pStyle w:val="NormalWeb"/>
              <w:ind w:left="480" w:hanging="240"/>
            </w:pPr>
            <w:r>
              <w:rPr>
                <w:rFonts w:ascii="Arial" w:hAnsi="Arial" w:cs="Arial"/>
                <w:b/>
                <w:bCs/>
              </w:rPr>
              <w:t>Total comprehensive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(73.36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(35,759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105,408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2136288358"/>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2136288358"/>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- 22 - </w:t>
      </w:r>
    </w:p>
    <w:p w:rsidR="00000000" w:rsidRDefault="003E5AFF">
      <w:pPr>
        <w:rPr>
          <w:rFonts w:eastAsia="Times New Roman" w:cs="Times New Roman"/>
        </w:rPr>
      </w:pPr>
      <w:r>
        <w:rPr>
          <w:rFonts w:eastAsia="Times New Roman" w:cs="Times New Roman"/>
        </w:rPr>
        <w:pict>
          <v:rect id="_x0000_i1056" style="width:441.9pt;height:3pt" o:hralign="center" o:hrstd="t" o:hrnoshade="t" o:hr="t" fillcolor="#999" stroked="f"/>
        </w:pict>
      </w:r>
    </w:p>
    <w:p w:rsidR="00000000" w:rsidRDefault="003E5AFF">
      <w:pPr>
        <w:pStyle w:val="Heading5"/>
        <w:rPr>
          <w:rFonts w:eastAsia="Times New Roman" w:cs="Times New Roman"/>
        </w:rPr>
      </w:pPr>
      <w:hyperlink r:id="rId73"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3446"/>
        <w:gridCol w:w="172"/>
        <w:gridCol w:w="109"/>
        <w:gridCol w:w="1191"/>
        <w:gridCol w:w="173"/>
        <w:gridCol w:w="229"/>
        <w:gridCol w:w="56"/>
        <w:gridCol w:w="723"/>
        <w:gridCol w:w="112"/>
        <w:gridCol w:w="173"/>
        <w:gridCol w:w="56"/>
        <w:gridCol w:w="723"/>
        <w:gridCol w:w="112"/>
        <w:gridCol w:w="173"/>
        <w:gridCol w:w="56"/>
        <w:gridCol w:w="679"/>
        <w:gridCol w:w="123"/>
      </w:tblGrid>
      <w:tr w:rsidR="00000000">
        <w:trPr>
          <w:divId w:val="829297218"/>
          <w:jc w:val="center"/>
        </w:trPr>
        <w:tc>
          <w:tcPr>
            <w:tcW w:w="30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829297218"/>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829297218"/>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Comprehensive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829297218"/>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829297218"/>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829297218"/>
          <w:jc w:val="center"/>
        </w:trPr>
        <w:tc>
          <w:tcPr>
            <w:tcW w:w="0" w:type="auto"/>
            <w:shd w:val="clear" w:color="auto" w:fill="CCEEFF"/>
            <w:hideMark/>
          </w:tcPr>
          <w:p w:rsidR="00000000" w:rsidRDefault="003E5AFF">
            <w:pPr>
              <w:pStyle w:val="NormalWeb"/>
              <w:ind w:left="240" w:hanging="240"/>
            </w:pPr>
            <w:r>
              <w:rPr>
                <w:rFonts w:ascii="Arial" w:hAnsi="Arial" w:cs="Arial"/>
              </w:rPr>
              <w:t>Comprehensive income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756.26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368,631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201,686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31,079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240" w:hanging="240"/>
            </w:pPr>
            <w:r>
              <w:rPr>
                <w:rFonts w:ascii="Arial" w:hAnsi="Arial" w:cs="Arial"/>
              </w:rPr>
              <w:t>Comprehensive income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41.67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20,310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(24,230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b/>
                <w:bCs/>
              </w:rPr>
              <w:t>Total comprehensive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797.93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388,941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201,939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829297218"/>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641"/>
        <w:gridCol w:w="75"/>
        <w:gridCol w:w="56"/>
        <w:gridCol w:w="890"/>
        <w:gridCol w:w="112"/>
        <w:gridCol w:w="75"/>
        <w:gridCol w:w="56"/>
        <w:gridCol w:w="890"/>
        <w:gridCol w:w="112"/>
        <w:gridCol w:w="75"/>
        <w:gridCol w:w="56"/>
        <w:gridCol w:w="890"/>
        <w:gridCol w:w="112"/>
        <w:gridCol w:w="75"/>
        <w:gridCol w:w="56"/>
        <w:gridCol w:w="890"/>
        <w:gridCol w:w="112"/>
        <w:gridCol w:w="75"/>
        <w:gridCol w:w="56"/>
        <w:gridCol w:w="890"/>
        <w:gridCol w:w="112"/>
      </w:tblGrid>
      <w:tr w:rsidR="00000000">
        <w:trPr>
          <w:divId w:val="829297218"/>
          <w:jc w:val="center"/>
        </w:trPr>
        <w:tc>
          <w:tcPr>
            <w:tcW w:w="250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829297218"/>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829297218"/>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Operating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829297218"/>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829297218"/>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829297218"/>
          <w:jc w:val="center"/>
        </w:trPr>
        <w:tc>
          <w:tcPr>
            <w:tcW w:w="0" w:type="auto"/>
            <w:shd w:val="clear" w:color="auto" w:fill="CCEEFF"/>
            <w:hideMark/>
          </w:tcPr>
          <w:p w:rsidR="00000000" w:rsidRDefault="003E5AFF">
            <w:pPr>
              <w:pStyle w:val="NormalWeb"/>
              <w:ind w:left="240" w:hanging="240"/>
            </w:pPr>
            <w:r>
              <w:rPr>
                <w:rFonts w:ascii="Arial" w:hAnsi="Arial" w:cs="Arial"/>
                <w:b/>
                <w:bCs/>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divId w:val="829297218"/>
          <w:jc w:val="center"/>
        </w:trPr>
        <w:tc>
          <w:tcPr>
            <w:tcW w:w="0" w:type="auto"/>
            <w:hideMark/>
          </w:tcPr>
          <w:p w:rsidR="00000000" w:rsidRDefault="003E5AFF">
            <w:pPr>
              <w:pStyle w:val="NormalWeb"/>
              <w:ind w:left="240" w:hanging="240"/>
            </w:pPr>
            <w:r>
              <w:rPr>
                <w:rFonts w:ascii="Arial" w:hAnsi="Arial" w:cs="Arial"/>
                <w:u w:val="single"/>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i/>
                <w:iCs/>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480" w:hanging="240"/>
            </w:pPr>
            <w:r>
              <w:rPr>
                <w:rFonts w:ascii="Arial" w:hAnsi="Arial" w:cs="Arial"/>
                <w:i/>
                <w:i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720" w:hanging="240"/>
            </w:pPr>
            <w:r>
              <w:rPr>
                <w:rFonts w:ascii="Arial" w:hAnsi="Arial" w:cs="Arial"/>
              </w:rPr>
              <w:t>Supermarkets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829297218"/>
          <w:jc w:val="center"/>
        </w:trPr>
        <w:tc>
          <w:tcPr>
            <w:tcW w:w="0" w:type="auto"/>
            <w:hideMark/>
          </w:tcPr>
          <w:p w:rsidR="00000000" w:rsidRDefault="003E5AFF">
            <w:pPr>
              <w:pStyle w:val="NormalWeb"/>
              <w:ind w:left="240" w:hanging="240"/>
            </w:pPr>
            <w:r>
              <w:rPr>
                <w:rFonts w:ascii="Arial" w:hAnsi="Arial" w:cs="Arial"/>
                <w:u w:val="single"/>
              </w:rPr>
              <w:t>Home Improvement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i/>
                <w:iCs/>
              </w:rPr>
              <w:t>Colombia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720" w:hanging="240"/>
            </w:pPr>
            <w:r>
              <w:rPr>
                <w:rFonts w:ascii="Arial" w:hAnsi="Arial" w:cs="Arial"/>
              </w:rPr>
              <w:t>Home improvement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829297218"/>
          <w:jc w:val="center"/>
        </w:trPr>
        <w:tc>
          <w:tcPr>
            <w:tcW w:w="0" w:type="auto"/>
            <w:shd w:val="clear" w:color="auto" w:fill="CCEEFF"/>
            <w:hideMark/>
          </w:tcPr>
          <w:p w:rsidR="00000000" w:rsidRDefault="003E5AFF">
            <w:pPr>
              <w:pStyle w:val="NormalWeb"/>
              <w:ind w:left="240" w:hanging="240"/>
            </w:pPr>
            <w:r>
              <w:rPr>
                <w:rFonts w:ascii="Arial" w:hAnsi="Arial" w:cs="Arial"/>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829297218"/>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720" w:hanging="240"/>
            </w:pPr>
            <w:r>
              <w:rPr>
                <w:rFonts w:ascii="Arial" w:hAnsi="Arial" w:cs="Arial"/>
              </w:rPr>
              <w:t>Department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829297218"/>
          <w:jc w:val="center"/>
        </w:trPr>
        <w:tc>
          <w:tcPr>
            <w:tcW w:w="0" w:type="auto"/>
            <w:hideMark/>
          </w:tcPr>
          <w:p w:rsidR="00000000" w:rsidRDefault="003E5AFF">
            <w:pPr>
              <w:pStyle w:val="NormalWeb"/>
              <w:ind w:left="240" w:hanging="240"/>
            </w:pPr>
            <w:r>
              <w:rPr>
                <w:rFonts w:ascii="Arial" w:hAnsi="Arial" w:cs="Arial"/>
                <w:u w:val="single"/>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i/>
                <w:iCs/>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720" w:hanging="240"/>
            </w:pPr>
            <w:r>
              <w:rPr>
                <w:rFonts w:ascii="Arial" w:hAnsi="Arial" w:cs="Arial"/>
              </w:rPr>
              <w:t>Shopping centers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96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divId w:val="829297218"/>
          <w:jc w:val="center"/>
        </w:trPr>
        <w:tc>
          <w:tcPr>
            <w:tcW w:w="0" w:type="auto"/>
            <w:hideMark/>
          </w:tcPr>
          <w:p w:rsidR="00000000" w:rsidRDefault="003E5AFF">
            <w:pPr>
              <w:pStyle w:val="NormalWeb"/>
              <w:ind w:left="240" w:hanging="240"/>
            </w:pPr>
            <w:r>
              <w:rPr>
                <w:rFonts w:ascii="Arial" w:hAnsi="Arial" w:cs="Arial"/>
                <w:b/>
                <w:bCs/>
              </w:rPr>
              <w:t>Total Selling Space(2)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center"/>
              <w:rPr>
                <w:rFonts w:eastAsia="Times New Roman" w:cs="Times New Roman"/>
              </w:rPr>
            </w:pPr>
            <w:r>
              <w:rPr>
                <w:rFonts w:ascii="Arial" w:eastAsia="Times New Roman" w:hAnsi="Arial" w:cs="Arial"/>
                <w:b/>
                <w:bCs/>
              </w:rPr>
              <w:t> </w:t>
            </w:r>
          </w:p>
        </w:tc>
        <w:tc>
          <w:tcPr>
            <w:tcW w:w="0" w:type="auto"/>
            <w:gridSpan w:val="17"/>
            <w:vAlign w:val="bottom"/>
            <w:hideMark/>
          </w:tcPr>
          <w:p w:rsidR="00000000" w:rsidRDefault="003E5AFF">
            <w:pPr>
              <w:jc w:val="center"/>
              <w:rPr>
                <w:rFonts w:eastAsia="Times New Roman" w:cs="Times New Roman"/>
              </w:rPr>
            </w:pPr>
            <w:r>
              <w:rPr>
                <w:rFonts w:ascii="Arial" w:eastAsia="Times New Roman" w:hAnsi="Arial" w:cs="Arial"/>
                <w:b/>
                <w:bCs/>
              </w:rPr>
              <w:t>(in square meters)</w:t>
            </w:r>
          </w:p>
        </w:tc>
        <w:tc>
          <w:tcPr>
            <w:tcW w:w="0" w:type="auto"/>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divId w:val="829297218"/>
          <w:jc w:val="center"/>
        </w:trPr>
        <w:tc>
          <w:tcPr>
            <w:tcW w:w="0" w:type="auto"/>
            <w:shd w:val="clear" w:color="auto" w:fill="CCEEFF"/>
            <w:hideMark/>
          </w:tcPr>
          <w:p w:rsidR="00000000" w:rsidRDefault="003E5AFF">
            <w:pPr>
              <w:pStyle w:val="NormalWeb"/>
              <w:ind w:left="240" w:hanging="240"/>
            </w:pPr>
            <w:r>
              <w:rPr>
                <w:rFonts w:ascii="Arial" w:hAnsi="Arial" w:cs="Arial"/>
                <w:u w:val="single"/>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829297218"/>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466,354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415,815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463,834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406,555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407,531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i/>
                <w:iCs/>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506,987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471,853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502,682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455,808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443,809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480" w:hanging="240"/>
            </w:pPr>
            <w:r>
              <w:rPr>
                <w:rFonts w:ascii="Arial" w:hAnsi="Arial" w:cs="Arial"/>
                <w:i/>
                <w:iCs/>
              </w:rPr>
              <w:t>Brazil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465,992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343,587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391,485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332,626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120,608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shd w:val="clear" w:color="auto" w:fill="CCEEFF"/>
            <w:hideMark/>
          </w:tcPr>
          <w:p w:rsidR="00000000" w:rsidRDefault="003E5AFF">
            <w:pPr>
              <w:pStyle w:val="NormalWeb"/>
              <w:ind w:left="480" w:hanging="240"/>
            </w:pPr>
            <w:r>
              <w:rPr>
                <w:rFonts w:ascii="Arial" w:hAnsi="Arial" w:cs="Arial"/>
                <w:i/>
                <w:iCs/>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233,496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209,642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233,331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209,642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184,659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hideMark/>
          </w:tcPr>
          <w:p w:rsidR="00000000" w:rsidRDefault="003E5AFF">
            <w:pPr>
              <w:pStyle w:val="NormalWeb"/>
              <w:ind w:left="720" w:hanging="240"/>
            </w:pPr>
            <w:r>
              <w:rPr>
                <w:rFonts w:ascii="Arial" w:hAnsi="Arial" w:cs="Arial"/>
              </w:rPr>
              <w:t>Supermarkets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1,672,829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1,440,897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1,591,332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1,404,631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1,156,607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829297218"/>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divId w:val="829297218"/>
      </w:pPr>
      <w:r>
        <w:rPr>
          <w:sz w:val="15"/>
          <w:szCs w:val="15"/>
        </w:rPr>
        <w:t> </w:t>
      </w:r>
    </w:p>
    <w:p w:rsidR="00000000" w:rsidRDefault="003E5AFF">
      <w:pPr>
        <w:pStyle w:val="NormalWeb"/>
        <w:spacing w:before="0" w:beforeAutospacing="0" w:after="0" w:afterAutospacing="0"/>
        <w:divId w:val="829297218"/>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- 23 - </w:t>
      </w:r>
    </w:p>
    <w:p w:rsidR="00000000" w:rsidRDefault="003E5AFF">
      <w:pPr>
        <w:rPr>
          <w:rFonts w:eastAsia="Times New Roman" w:cs="Times New Roman"/>
        </w:rPr>
      </w:pPr>
      <w:r>
        <w:rPr>
          <w:rFonts w:eastAsia="Times New Roman" w:cs="Times New Roman"/>
        </w:rPr>
        <w:pict>
          <v:rect id="_x0000_i1057" style="width:441.9pt;height:3pt" o:hralign="center" o:hrstd="t" o:hrnoshade="t" o:hr="t" fillcolor="#999" stroked="f"/>
        </w:pict>
      </w:r>
    </w:p>
    <w:p w:rsidR="00000000" w:rsidRDefault="003E5AFF">
      <w:pPr>
        <w:pStyle w:val="Heading5"/>
        <w:rPr>
          <w:rFonts w:eastAsia="Times New Roman" w:cs="Times New Roman"/>
        </w:rPr>
      </w:pPr>
      <w:hyperlink r:id="rId74"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2641"/>
        <w:gridCol w:w="75"/>
        <w:gridCol w:w="56"/>
        <w:gridCol w:w="890"/>
        <w:gridCol w:w="112"/>
        <w:gridCol w:w="75"/>
        <w:gridCol w:w="56"/>
        <w:gridCol w:w="890"/>
        <w:gridCol w:w="112"/>
        <w:gridCol w:w="75"/>
        <w:gridCol w:w="56"/>
        <w:gridCol w:w="890"/>
        <w:gridCol w:w="112"/>
        <w:gridCol w:w="75"/>
        <w:gridCol w:w="56"/>
        <w:gridCol w:w="890"/>
        <w:gridCol w:w="112"/>
        <w:gridCol w:w="75"/>
        <w:gridCol w:w="56"/>
        <w:gridCol w:w="890"/>
        <w:gridCol w:w="112"/>
      </w:tblGrid>
      <w:tr w:rsidR="00000000">
        <w:trPr>
          <w:divId w:val="995572295"/>
          <w:jc w:val="center"/>
        </w:trPr>
        <w:tc>
          <w:tcPr>
            <w:tcW w:w="250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995572295"/>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95572295"/>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Operating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95572295"/>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995572295"/>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95572295"/>
          <w:jc w:val="center"/>
        </w:trPr>
        <w:tc>
          <w:tcPr>
            <w:tcW w:w="0" w:type="auto"/>
            <w:shd w:val="clear" w:color="auto" w:fill="CCEEFF"/>
            <w:hideMark/>
          </w:tcPr>
          <w:p w:rsidR="00000000" w:rsidRDefault="003E5AFF">
            <w:pPr>
              <w:pStyle w:val="NormalWeb"/>
              <w:ind w:left="240" w:hanging="240"/>
            </w:pPr>
            <w:r>
              <w:rPr>
                <w:rFonts w:ascii="Arial" w:hAnsi="Arial" w:cs="Arial"/>
                <w:u w:val="single"/>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276,325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273,625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276,325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273,625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251,144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392,772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364,317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391,485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392,645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350,666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35,360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34,309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35,360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34,309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16,646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720" w:hanging="240"/>
            </w:pPr>
            <w:r>
              <w:rPr>
                <w:rFonts w:ascii="Arial" w:hAnsi="Arial" w:cs="Arial"/>
              </w:rPr>
              <w:t>Home improvement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704,457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672,251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703,170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700,579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618,456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995572295"/>
          <w:jc w:val="center"/>
        </w:trPr>
        <w:tc>
          <w:tcPr>
            <w:tcW w:w="0" w:type="auto"/>
            <w:hideMark/>
          </w:tcPr>
          <w:p w:rsidR="00000000" w:rsidRDefault="003E5AFF">
            <w:pPr>
              <w:pStyle w:val="NormalWeb"/>
              <w:ind w:left="240" w:hanging="240"/>
            </w:pPr>
            <w:r>
              <w:rPr>
                <w:rFonts w:ascii="Arial" w:hAnsi="Arial" w:cs="Arial"/>
                <w:u w:val="single"/>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358,837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234,489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272,388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234,489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216,193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720" w:hanging="240"/>
            </w:pPr>
            <w:r>
              <w:rPr>
                <w:rFonts w:ascii="Arial" w:hAnsi="Arial" w:cs="Arial"/>
              </w:rPr>
              <w:t>Department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358,837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234,489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272,388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234,489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216,193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995572295"/>
          <w:jc w:val="center"/>
        </w:trPr>
        <w:tc>
          <w:tcPr>
            <w:tcW w:w="0" w:type="auto"/>
            <w:shd w:val="clear" w:color="auto" w:fill="CCEEFF"/>
            <w:hideMark/>
          </w:tcPr>
          <w:p w:rsidR="00000000" w:rsidRDefault="003E5AFF">
            <w:pPr>
              <w:pStyle w:val="NormalWeb"/>
              <w:ind w:left="240" w:hanging="240"/>
            </w:pPr>
            <w:r>
              <w:rPr>
                <w:rFonts w:ascii="Arial" w:hAnsi="Arial" w:cs="Arial"/>
                <w:u w:val="single"/>
              </w:rPr>
              <w:t>Shopping Centers:(3)</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282,693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273,983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282,693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273,983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259,293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228,999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214,002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227,369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214,002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208,221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720" w:hanging="240"/>
            </w:pPr>
            <w:r>
              <w:rPr>
                <w:rFonts w:ascii="Arial" w:hAnsi="Arial" w:cs="Arial"/>
              </w:rPr>
              <w:t>Shopping centers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566,442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542,735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564,839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542,735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522,264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960" w:hanging="240"/>
            </w:pPr>
            <w:r>
              <w:rPr>
                <w:rFonts w:ascii="Arial" w:hAnsi="Arial" w:cs="Arial"/>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3,302,564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2,890,371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3,131,729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2,882,434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2,513,520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divId w:val="995572295"/>
          <w:jc w:val="center"/>
        </w:trPr>
        <w:tc>
          <w:tcPr>
            <w:tcW w:w="0" w:type="auto"/>
            <w:shd w:val="clear" w:color="auto" w:fill="CCEEFF"/>
            <w:hideMark/>
          </w:tcPr>
          <w:p w:rsidR="00000000" w:rsidRDefault="003E5AFF">
            <w:pPr>
              <w:pStyle w:val="NormalWeb"/>
              <w:ind w:left="240" w:hanging="240"/>
            </w:pPr>
            <w:r>
              <w:rPr>
                <w:rFonts w:ascii="Arial" w:hAnsi="Arial" w:cs="Arial"/>
                <w:b/>
                <w:bCs/>
              </w:rPr>
              <w:t>Average Selling Space per Store</w:t>
            </w:r>
            <w:r>
              <w:rPr>
                <w:rFonts w:ascii="Arial" w:hAnsi="Arial" w:cs="Arial"/>
              </w:rPr>
              <w:t>(4)</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 </w:t>
            </w:r>
          </w:p>
        </w:tc>
        <w:tc>
          <w:tcPr>
            <w:tcW w:w="0" w:type="auto"/>
            <w:gridSpan w:val="17"/>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(in square meters)</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divId w:val="995572295"/>
          <w:jc w:val="center"/>
        </w:trPr>
        <w:tc>
          <w:tcPr>
            <w:tcW w:w="0" w:type="auto"/>
            <w:hideMark/>
          </w:tcPr>
          <w:p w:rsidR="00000000" w:rsidRDefault="003E5AFF">
            <w:pPr>
              <w:pStyle w:val="NormalWeb"/>
              <w:ind w:left="240" w:hanging="240"/>
            </w:pPr>
            <w:r>
              <w:rPr>
                <w:rFonts w:ascii="Arial" w:hAnsi="Arial" w:cs="Arial"/>
                <w:u w:val="single"/>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720" w:hanging="240"/>
            </w:pPr>
            <w:r>
              <w:rPr>
                <w:rFonts w:ascii="Arial" w:hAnsi="Arial" w:cs="Arial"/>
              </w:rPr>
              <w:t>Supermarkets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995572295"/>
          <w:jc w:val="center"/>
        </w:trPr>
        <w:tc>
          <w:tcPr>
            <w:tcW w:w="0" w:type="auto"/>
            <w:hideMark/>
          </w:tcPr>
          <w:p w:rsidR="00000000" w:rsidRDefault="003E5AFF">
            <w:pPr>
              <w:pStyle w:val="NormalWeb"/>
              <w:ind w:left="240" w:hanging="240"/>
            </w:pPr>
            <w:r>
              <w:rPr>
                <w:rFonts w:ascii="Arial" w:hAnsi="Arial" w:cs="Arial"/>
                <w:u w:val="single"/>
              </w:rPr>
              <w:t>Home Improvement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9,528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9,528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Colombia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8,840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8,840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8,323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720" w:hanging="240"/>
            </w:pPr>
            <w:r>
              <w:rPr>
                <w:rFonts w:ascii="Arial" w:hAnsi="Arial" w:cs="Arial"/>
              </w:rPr>
              <w:t>Home improvement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995572295"/>
          <w:jc w:val="center"/>
        </w:trPr>
        <w:tc>
          <w:tcPr>
            <w:tcW w:w="0" w:type="auto"/>
            <w:shd w:val="clear" w:color="auto" w:fill="CCEEFF"/>
            <w:hideMark/>
          </w:tcPr>
          <w:p w:rsidR="00000000" w:rsidRDefault="003E5AFF">
            <w:pPr>
              <w:pStyle w:val="NormalWeb"/>
              <w:ind w:left="240" w:hanging="240"/>
            </w:pPr>
            <w:r>
              <w:rPr>
                <w:rFonts w:ascii="Arial" w:hAnsi="Arial" w:cs="Arial"/>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720" w:hanging="240"/>
            </w:pPr>
            <w:r>
              <w:rPr>
                <w:rFonts w:ascii="Arial" w:hAnsi="Arial" w:cs="Arial"/>
              </w:rPr>
              <w:t>Department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7,783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995572295"/>
          <w:jc w:val="center"/>
        </w:trPr>
        <w:tc>
          <w:tcPr>
            <w:tcW w:w="0" w:type="auto"/>
            <w:hideMark/>
          </w:tcPr>
          <w:p w:rsidR="00000000" w:rsidRDefault="003E5AFF">
            <w:pPr>
              <w:pStyle w:val="NormalWeb"/>
              <w:ind w:left="240" w:hanging="240"/>
            </w:pPr>
            <w:r>
              <w:rPr>
                <w:rFonts w:ascii="Arial" w:hAnsi="Arial" w:cs="Arial"/>
                <w:u w:val="single"/>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31,410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30,443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31,410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30,443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32,412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16,357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15,286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16,243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15,286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16,017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720" w:hanging="240"/>
            </w:pPr>
            <w:r>
              <w:rPr>
                <w:rFonts w:ascii="Arial" w:hAnsi="Arial" w:cs="Arial"/>
              </w:rPr>
              <w:t>Shopping centers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22,658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21,709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22,594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21,709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22,707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divId w:val="995572295"/>
          <w:jc w:val="center"/>
        </w:trPr>
        <w:tc>
          <w:tcPr>
            <w:tcW w:w="0" w:type="auto"/>
            <w:shd w:val="clear" w:color="auto" w:fill="CCEEFF"/>
            <w:hideMark/>
          </w:tcPr>
          <w:p w:rsidR="00000000" w:rsidRDefault="003E5AFF">
            <w:pPr>
              <w:pStyle w:val="NormalWeb"/>
              <w:ind w:left="240" w:hanging="240"/>
            </w:pPr>
            <w:r>
              <w:rPr>
                <w:rFonts w:ascii="Arial" w:hAnsi="Arial" w:cs="Arial"/>
                <w:b/>
                <w:bCs/>
              </w:rPr>
              <w:t>Average Sales per Store</w:t>
            </w:r>
            <w:r>
              <w:rPr>
                <w:rFonts w:ascii="Arial" w:hAnsi="Arial" w:cs="Arial"/>
              </w:rPr>
              <w:t xml:space="preserve">(5)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 </w:t>
            </w:r>
          </w:p>
        </w:tc>
        <w:tc>
          <w:tcPr>
            <w:tcW w:w="0" w:type="auto"/>
            <w:gridSpan w:val="17"/>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divId w:val="995572295"/>
          <w:jc w:val="center"/>
        </w:trPr>
        <w:tc>
          <w:tcPr>
            <w:tcW w:w="0" w:type="auto"/>
            <w:hideMark/>
          </w:tcPr>
          <w:p w:rsidR="00000000" w:rsidRDefault="003E5AFF">
            <w:pPr>
              <w:pStyle w:val="NormalWeb"/>
              <w:ind w:left="240" w:hanging="240"/>
            </w:pPr>
            <w:r>
              <w:rPr>
                <w:rFonts w:ascii="Arial" w:hAnsi="Arial" w:cs="Arial"/>
                <w:u w:val="single"/>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9,662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10,371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480" w:hanging="240"/>
            </w:pPr>
            <w:r>
              <w:rPr>
                <w:rFonts w:ascii="Arial" w:hAnsi="Arial" w:cs="Arial"/>
                <w:i/>
                <w:iCs/>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10,890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hideMark/>
          </w:tcPr>
          <w:p w:rsidR="00000000" w:rsidRDefault="003E5AFF">
            <w:pPr>
              <w:pStyle w:val="NormalWeb"/>
              <w:ind w:left="480" w:hanging="240"/>
            </w:pPr>
            <w:r>
              <w:rPr>
                <w:rFonts w:ascii="Arial" w:hAnsi="Arial" w:cs="Arial"/>
                <w:i/>
                <w:i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8,744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shd w:val="clear" w:color="auto" w:fill="CCEEFF"/>
            <w:hideMark/>
          </w:tcPr>
          <w:p w:rsidR="00000000" w:rsidRDefault="003E5AFF">
            <w:pPr>
              <w:pStyle w:val="NormalWeb"/>
              <w:ind w:left="720" w:hanging="240"/>
            </w:pPr>
            <w:r>
              <w:rPr>
                <w:rFonts w:ascii="Arial" w:hAnsi="Arial" w:cs="Arial"/>
              </w:rPr>
              <w:t>Supermarkets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995572295"/>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divId w:val="995572295"/>
      </w:pPr>
      <w:r>
        <w:rPr>
          <w:sz w:val="15"/>
          <w:szCs w:val="15"/>
        </w:rPr>
        <w:t> </w:t>
      </w:r>
    </w:p>
    <w:p w:rsidR="00000000" w:rsidRDefault="003E5AFF">
      <w:pPr>
        <w:pStyle w:val="NormalWeb"/>
        <w:spacing w:before="0" w:beforeAutospacing="0" w:after="0" w:afterAutospacing="0"/>
        <w:divId w:val="995572295"/>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- 24 - </w:t>
      </w:r>
    </w:p>
    <w:p w:rsidR="00000000" w:rsidRDefault="003E5AFF">
      <w:pPr>
        <w:rPr>
          <w:rFonts w:eastAsia="Times New Roman" w:cs="Times New Roman"/>
        </w:rPr>
      </w:pPr>
      <w:r>
        <w:rPr>
          <w:rFonts w:eastAsia="Times New Roman" w:cs="Times New Roman"/>
        </w:rPr>
        <w:pict>
          <v:rect id="_x0000_i1058" style="width:441.9pt;height:3pt" o:hralign="center" o:hrstd="t" o:hrnoshade="t" o:hr="t" fillcolor="#999" stroked="f"/>
        </w:pict>
      </w:r>
    </w:p>
    <w:p w:rsidR="00000000" w:rsidRDefault="003E5AFF">
      <w:pPr>
        <w:pStyle w:val="Heading5"/>
        <w:rPr>
          <w:rFonts w:eastAsia="Times New Roman" w:cs="Times New Roman"/>
        </w:rPr>
      </w:pPr>
      <w:hyperlink r:id="rId75"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2815"/>
        <w:gridCol w:w="225"/>
        <w:gridCol w:w="78"/>
        <w:gridCol w:w="789"/>
        <w:gridCol w:w="156"/>
        <w:gridCol w:w="225"/>
        <w:gridCol w:w="78"/>
        <w:gridCol w:w="789"/>
        <w:gridCol w:w="112"/>
        <w:gridCol w:w="225"/>
        <w:gridCol w:w="56"/>
        <w:gridCol w:w="612"/>
        <w:gridCol w:w="112"/>
        <w:gridCol w:w="226"/>
        <w:gridCol w:w="56"/>
        <w:gridCol w:w="612"/>
        <w:gridCol w:w="123"/>
        <w:gridCol w:w="226"/>
        <w:gridCol w:w="56"/>
        <w:gridCol w:w="612"/>
        <w:gridCol w:w="123"/>
      </w:tblGrid>
      <w:tr w:rsidR="00000000">
        <w:trPr>
          <w:divId w:val="389620948"/>
          <w:jc w:val="center"/>
        </w:trPr>
        <w:tc>
          <w:tcPr>
            <w:tcW w:w="250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389620948"/>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389620948"/>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Operating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389620948"/>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389620948"/>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389620948"/>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38962094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389620948"/>
          <w:jc w:val="center"/>
        </w:trPr>
        <w:tc>
          <w:tcPr>
            <w:tcW w:w="0" w:type="auto"/>
            <w:shd w:val="clear" w:color="auto" w:fill="CCEEFF"/>
            <w:hideMark/>
          </w:tcPr>
          <w:p w:rsidR="00000000" w:rsidRDefault="003E5AFF">
            <w:pPr>
              <w:pStyle w:val="NormalWeb"/>
              <w:ind w:left="240" w:hanging="240"/>
            </w:pPr>
            <w:r>
              <w:rPr>
                <w:rFonts w:ascii="Arial" w:hAnsi="Arial" w:cs="Arial"/>
                <w:u w:val="single"/>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10,551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9,205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720" w:hanging="240"/>
            </w:pPr>
            <w:r>
              <w:rPr>
                <w:rFonts w:ascii="Arial" w:hAnsi="Arial" w:cs="Arial"/>
              </w:rPr>
              <w:t>Home improvement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11,712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9,199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389620948"/>
          <w:jc w:val="center"/>
        </w:trPr>
        <w:tc>
          <w:tcPr>
            <w:tcW w:w="0" w:type="auto"/>
            <w:hideMark/>
          </w:tcPr>
          <w:p w:rsidR="00000000" w:rsidRDefault="003E5AFF">
            <w:pPr>
              <w:pStyle w:val="NormalWeb"/>
              <w:ind w:left="240" w:hanging="240"/>
            </w:pPr>
            <w:r>
              <w:rPr>
                <w:rFonts w:ascii="Arial" w:hAnsi="Arial" w:cs="Arial"/>
                <w:u w:val="single"/>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19,736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17,218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hideMark/>
          </w:tcPr>
          <w:p w:rsidR="00000000" w:rsidRDefault="003E5AFF">
            <w:pPr>
              <w:pStyle w:val="NormalWeb"/>
              <w:ind w:left="720" w:hanging="240"/>
            </w:pPr>
            <w:r>
              <w:rPr>
                <w:rFonts w:ascii="Arial" w:hAnsi="Arial" w:cs="Arial"/>
              </w:rPr>
              <w:t>Department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19,736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18,315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389620948"/>
          <w:jc w:val="center"/>
        </w:trPr>
        <w:tc>
          <w:tcPr>
            <w:tcW w:w="0" w:type="auto"/>
            <w:shd w:val="clear" w:color="auto" w:fill="CCEEFF"/>
            <w:hideMark/>
          </w:tcPr>
          <w:p w:rsidR="00000000" w:rsidRDefault="003E5AFF">
            <w:pPr>
              <w:pStyle w:val="NormalWeb"/>
              <w:ind w:left="240" w:hanging="240"/>
            </w:pPr>
            <w:r>
              <w:rPr>
                <w:rFonts w:ascii="Arial" w:hAnsi="Arial" w:cs="Arial"/>
                <w:u w:val="single"/>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7,167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6,095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720" w:hanging="240"/>
            </w:pPr>
            <w:r>
              <w:rPr>
                <w:rFonts w:ascii="Arial" w:hAnsi="Arial" w:cs="Arial"/>
              </w:rPr>
              <w:t>Shopping centers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divId w:val="389620948"/>
          <w:jc w:val="center"/>
        </w:trPr>
        <w:tc>
          <w:tcPr>
            <w:tcW w:w="0" w:type="auto"/>
            <w:hideMark/>
          </w:tcPr>
          <w:p w:rsidR="00000000" w:rsidRDefault="003E5AFF">
            <w:pPr>
              <w:pStyle w:val="NormalWeb"/>
              <w:ind w:left="240" w:hanging="240"/>
            </w:pPr>
            <w:r>
              <w:rPr>
                <w:rFonts w:ascii="Arial" w:hAnsi="Arial" w:cs="Arial"/>
                <w:b/>
                <w:bCs/>
              </w:rPr>
              <w:t>Increase (Decrease) in Same-Store Sales</w:t>
            </w:r>
            <w:r>
              <w:rPr>
                <w:rFonts w:ascii="Arial" w:hAnsi="Arial" w:cs="Arial"/>
              </w:rPr>
              <w:t>(6)</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center"/>
              <w:rPr>
                <w:rFonts w:eastAsia="Times New Roman" w:cs="Times New Roman"/>
              </w:rPr>
            </w:pPr>
            <w:r>
              <w:rPr>
                <w:rFonts w:ascii="Arial" w:eastAsia="Times New Roman" w:hAnsi="Arial" w:cs="Arial"/>
                <w:b/>
                <w:bCs/>
              </w:rPr>
              <w:t> </w:t>
            </w:r>
          </w:p>
        </w:tc>
        <w:tc>
          <w:tcPr>
            <w:tcW w:w="0" w:type="auto"/>
            <w:gridSpan w:val="17"/>
            <w:vAlign w:val="bottom"/>
            <w:hideMark/>
          </w:tcPr>
          <w:p w:rsidR="00000000" w:rsidRDefault="003E5AFF">
            <w:pPr>
              <w:jc w:val="center"/>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divId w:val="389620948"/>
          <w:jc w:val="center"/>
        </w:trPr>
        <w:tc>
          <w:tcPr>
            <w:tcW w:w="0" w:type="auto"/>
            <w:shd w:val="clear" w:color="auto" w:fill="CCEEFF"/>
            <w:hideMark/>
          </w:tcPr>
          <w:p w:rsidR="00000000" w:rsidRDefault="003E5AFF">
            <w:pPr>
              <w:pStyle w:val="NormalWeb"/>
              <w:ind w:left="240" w:hanging="240"/>
            </w:pPr>
            <w:r>
              <w:rPr>
                <w:rFonts w:ascii="Arial" w:hAnsi="Arial" w:cs="Arial"/>
                <w:u w:val="single"/>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Brazil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389620948"/>
          <w:jc w:val="center"/>
        </w:trPr>
        <w:tc>
          <w:tcPr>
            <w:tcW w:w="0" w:type="auto"/>
            <w:hideMark/>
          </w:tcPr>
          <w:p w:rsidR="00000000" w:rsidRDefault="003E5AFF">
            <w:pPr>
              <w:pStyle w:val="NormalWeb"/>
              <w:ind w:left="240" w:hanging="240"/>
            </w:pPr>
            <w:r>
              <w:rPr>
                <w:rFonts w:ascii="Arial" w:hAnsi="Arial" w:cs="Arial"/>
                <w:u w:val="single"/>
              </w:rPr>
              <w:t>Home Improvement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Colombia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389620948"/>
          <w:jc w:val="center"/>
        </w:trPr>
        <w:tc>
          <w:tcPr>
            <w:tcW w:w="0" w:type="auto"/>
            <w:hideMark/>
          </w:tcPr>
          <w:p w:rsidR="00000000" w:rsidRDefault="003E5AFF">
            <w:pPr>
              <w:pStyle w:val="NormalWeb"/>
              <w:ind w:left="240" w:hanging="240"/>
            </w:pPr>
            <w:r>
              <w:rPr>
                <w:rFonts w:ascii="Arial" w:hAnsi="Arial" w:cs="Arial"/>
                <w:u w:val="single"/>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divId w:val="389620948"/>
          <w:jc w:val="center"/>
        </w:trPr>
        <w:tc>
          <w:tcPr>
            <w:tcW w:w="0" w:type="auto"/>
            <w:hideMark/>
          </w:tcPr>
          <w:p w:rsidR="00000000" w:rsidRDefault="003E5AFF">
            <w:pPr>
              <w:pStyle w:val="NormalWeb"/>
              <w:ind w:left="240" w:hanging="240"/>
            </w:pPr>
            <w:r>
              <w:rPr>
                <w:rFonts w:ascii="Arial" w:hAnsi="Arial" w:cs="Arial"/>
                <w:b/>
                <w:bCs/>
              </w:rPr>
              <w:t>Sales per Square Meter</w:t>
            </w:r>
            <w:r>
              <w:rPr>
                <w:rFonts w:ascii="Arial" w:hAnsi="Arial" w:cs="Arial"/>
              </w:rPr>
              <w:t>(7)</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center"/>
              <w:rPr>
                <w:rFonts w:eastAsia="Times New Roman" w:cs="Times New Roman"/>
              </w:rPr>
            </w:pPr>
            <w:r>
              <w:rPr>
                <w:rFonts w:ascii="Arial" w:eastAsia="Times New Roman" w:hAnsi="Arial" w:cs="Arial"/>
                <w:b/>
                <w:bCs/>
              </w:rPr>
              <w:t> </w:t>
            </w:r>
          </w:p>
        </w:tc>
        <w:tc>
          <w:tcPr>
            <w:tcW w:w="0" w:type="auto"/>
            <w:gridSpan w:val="17"/>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divId w:val="389620948"/>
          <w:jc w:val="center"/>
        </w:trPr>
        <w:tc>
          <w:tcPr>
            <w:tcW w:w="0" w:type="auto"/>
            <w:shd w:val="clear" w:color="auto" w:fill="CCEEFF"/>
            <w:hideMark/>
          </w:tcPr>
          <w:p w:rsidR="00000000" w:rsidRDefault="003E5AFF">
            <w:pPr>
              <w:pStyle w:val="NormalWeb"/>
              <w:ind w:left="240" w:hanging="240"/>
            </w:pPr>
            <w:r>
              <w:rPr>
                <w:rFonts w:ascii="Arial" w:hAnsi="Arial" w:cs="Arial"/>
                <w:u w:val="single"/>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Brazil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hideMark/>
          </w:tcPr>
          <w:p w:rsidR="00000000" w:rsidRDefault="003E5AFF">
            <w:pPr>
              <w:pStyle w:val="NormalWeb"/>
              <w:ind w:left="720" w:hanging="240"/>
            </w:pPr>
            <w:r>
              <w:rPr>
                <w:rFonts w:ascii="Arial" w:hAnsi="Arial" w:cs="Arial"/>
              </w:rPr>
              <w:t>Supermarkets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389620948"/>
          <w:jc w:val="center"/>
        </w:trPr>
        <w:tc>
          <w:tcPr>
            <w:tcW w:w="0" w:type="auto"/>
            <w:shd w:val="clear" w:color="auto" w:fill="CCEEFF"/>
            <w:hideMark/>
          </w:tcPr>
          <w:p w:rsidR="00000000" w:rsidRDefault="003E5AFF">
            <w:pPr>
              <w:pStyle w:val="NormalWeb"/>
              <w:ind w:left="240" w:hanging="240"/>
            </w:pPr>
            <w:r>
              <w:rPr>
                <w:rFonts w:ascii="Arial" w:hAnsi="Arial" w:cs="Arial"/>
                <w:u w:val="single"/>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480" w:hanging="240"/>
            </w:pPr>
            <w:r>
              <w:rPr>
                <w:rFonts w:ascii="Arial" w:hAnsi="Arial" w:cs="Arial"/>
                <w:i/>
                <w:iCs/>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hideMark/>
          </w:tcPr>
          <w:p w:rsidR="00000000" w:rsidRDefault="003E5AFF">
            <w:pPr>
              <w:pStyle w:val="NormalWeb"/>
              <w:ind w:left="480" w:hanging="240"/>
            </w:pPr>
            <w:r>
              <w:rPr>
                <w:rFonts w:ascii="Arial" w:hAnsi="Arial" w:cs="Arial"/>
                <w:i/>
                <w:i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shd w:val="clear" w:color="auto" w:fill="CCEEFF"/>
            <w:hideMark/>
          </w:tcPr>
          <w:p w:rsidR="00000000" w:rsidRDefault="003E5AFF">
            <w:pPr>
              <w:pStyle w:val="NormalWeb"/>
              <w:ind w:left="720" w:hanging="240"/>
            </w:pPr>
            <w:r>
              <w:rPr>
                <w:rFonts w:ascii="Arial" w:hAnsi="Arial" w:cs="Arial"/>
              </w:rPr>
              <w:t>Home improvement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389620948"/>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389620948"/>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- 25 - </w:t>
      </w:r>
    </w:p>
    <w:p w:rsidR="00000000" w:rsidRDefault="003E5AFF">
      <w:pPr>
        <w:rPr>
          <w:rFonts w:eastAsia="Times New Roman" w:cs="Times New Roman"/>
        </w:rPr>
      </w:pPr>
      <w:r>
        <w:rPr>
          <w:rFonts w:eastAsia="Times New Roman" w:cs="Times New Roman"/>
        </w:rPr>
        <w:pict>
          <v:rect id="_x0000_i1059" style="width:441.9pt;height:3pt" o:hralign="center" o:hrstd="t" o:hrnoshade="t" o:hr="t" fillcolor="#999" stroked="f"/>
        </w:pict>
      </w:r>
    </w:p>
    <w:p w:rsidR="00000000" w:rsidRDefault="003E5AFF">
      <w:pPr>
        <w:pStyle w:val="Heading5"/>
        <w:rPr>
          <w:rFonts w:eastAsia="Times New Roman" w:cs="Times New Roman"/>
        </w:rPr>
      </w:pPr>
      <w:hyperlink r:id="rId76"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2780"/>
        <w:gridCol w:w="167"/>
        <w:gridCol w:w="65"/>
        <w:gridCol w:w="827"/>
        <w:gridCol w:w="128"/>
        <w:gridCol w:w="166"/>
        <w:gridCol w:w="64"/>
        <w:gridCol w:w="826"/>
        <w:gridCol w:w="112"/>
        <w:gridCol w:w="166"/>
        <w:gridCol w:w="56"/>
        <w:gridCol w:w="723"/>
        <w:gridCol w:w="112"/>
        <w:gridCol w:w="166"/>
        <w:gridCol w:w="56"/>
        <w:gridCol w:w="723"/>
        <w:gridCol w:w="112"/>
        <w:gridCol w:w="166"/>
        <w:gridCol w:w="56"/>
        <w:gridCol w:w="723"/>
        <w:gridCol w:w="112"/>
      </w:tblGrid>
      <w:tr w:rsidR="00000000">
        <w:trPr>
          <w:divId w:val="1601837291"/>
          <w:jc w:val="center"/>
        </w:trPr>
        <w:tc>
          <w:tcPr>
            <w:tcW w:w="25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1601837291"/>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601837291"/>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Operating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601837291"/>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divId w:val="1601837291"/>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601837291"/>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1601837291"/>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601837291"/>
          <w:jc w:val="center"/>
        </w:trPr>
        <w:tc>
          <w:tcPr>
            <w:tcW w:w="0" w:type="auto"/>
            <w:shd w:val="clear" w:color="auto" w:fill="CCEEFF"/>
            <w:hideMark/>
          </w:tcPr>
          <w:p w:rsidR="00000000" w:rsidRDefault="003E5AFF">
            <w:pPr>
              <w:pStyle w:val="NormalWeb"/>
              <w:ind w:left="240" w:hanging="240"/>
            </w:pPr>
            <w:r>
              <w:rPr>
                <w:rFonts w:ascii="Arial" w:hAnsi="Arial" w:cs="Arial"/>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divId w:val="1601837291"/>
          <w:jc w:val="center"/>
        </w:trPr>
        <w:tc>
          <w:tcPr>
            <w:tcW w:w="0" w:type="auto"/>
            <w:hideMark/>
          </w:tcPr>
          <w:p w:rsidR="00000000" w:rsidRDefault="003E5AFF">
            <w:pPr>
              <w:pStyle w:val="NormalWeb"/>
              <w:ind w:left="480" w:hanging="240"/>
            </w:pPr>
            <w:r>
              <w:rPr>
                <w:rFonts w:ascii="Arial" w:hAnsi="Arial" w:cs="Arial"/>
                <w:i/>
                <w:i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01837291"/>
          <w:jc w:val="center"/>
        </w:trPr>
        <w:tc>
          <w:tcPr>
            <w:tcW w:w="0" w:type="auto"/>
            <w:shd w:val="clear" w:color="auto" w:fill="CCEEFF"/>
            <w:hideMark/>
          </w:tcPr>
          <w:p w:rsidR="00000000" w:rsidRDefault="003E5AFF">
            <w:pPr>
              <w:pStyle w:val="NormalWeb"/>
              <w:ind w:left="720" w:hanging="240"/>
            </w:pPr>
            <w:r>
              <w:rPr>
                <w:rFonts w:ascii="Arial" w:hAnsi="Arial" w:cs="Arial"/>
              </w:rPr>
              <w:t>Department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01837291"/>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divId w:val="1601837291"/>
          <w:jc w:val="center"/>
        </w:trPr>
        <w:tc>
          <w:tcPr>
            <w:tcW w:w="0" w:type="auto"/>
            <w:hideMark/>
          </w:tcPr>
          <w:p w:rsidR="00000000" w:rsidRDefault="003E5AFF">
            <w:pPr>
              <w:pStyle w:val="NormalWeb"/>
              <w:ind w:left="240" w:hanging="240"/>
            </w:pPr>
            <w:r>
              <w:rPr>
                <w:rFonts w:ascii="Arial" w:hAnsi="Arial" w:cs="Arial"/>
                <w:u w:val="single"/>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divId w:val="1601837291"/>
          <w:jc w:val="center"/>
        </w:trPr>
        <w:tc>
          <w:tcPr>
            <w:tcW w:w="0" w:type="auto"/>
            <w:shd w:val="clear" w:color="auto" w:fill="CCEEFF"/>
            <w:hideMark/>
          </w:tcPr>
          <w:p w:rsidR="00000000" w:rsidRDefault="003E5AFF">
            <w:pPr>
              <w:pStyle w:val="NormalWeb"/>
              <w:ind w:left="480" w:hanging="240"/>
            </w:pPr>
            <w:r>
              <w:rPr>
                <w:rFonts w:ascii="Arial" w:hAnsi="Arial" w:cs="Arial"/>
                <w:i/>
                <w:iCs/>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01837291"/>
          <w:jc w:val="center"/>
        </w:trPr>
        <w:tc>
          <w:tcPr>
            <w:tcW w:w="0" w:type="auto"/>
            <w:hideMark/>
          </w:tcPr>
          <w:p w:rsidR="00000000" w:rsidRDefault="003E5AFF">
            <w:pPr>
              <w:pStyle w:val="NormalWeb"/>
              <w:ind w:left="480" w:hanging="240"/>
            </w:pPr>
            <w:r>
              <w:rPr>
                <w:rFonts w:ascii="Arial" w:hAnsi="Arial" w:cs="Arial"/>
                <w:i/>
                <w:i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01837291"/>
          <w:jc w:val="center"/>
        </w:trPr>
        <w:tc>
          <w:tcPr>
            <w:tcW w:w="0" w:type="auto"/>
            <w:shd w:val="clear" w:color="auto" w:fill="CCEEFF"/>
            <w:hideMark/>
          </w:tcPr>
          <w:p w:rsidR="00000000" w:rsidRDefault="003E5AFF">
            <w:pPr>
              <w:pStyle w:val="NormalWeb"/>
              <w:ind w:left="480" w:hanging="240"/>
            </w:pPr>
            <w:r>
              <w:rPr>
                <w:rFonts w:ascii="Arial" w:hAnsi="Arial" w:cs="Arial"/>
                <w:i/>
                <w:iCs/>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01837291"/>
          <w:jc w:val="center"/>
        </w:trPr>
        <w:tc>
          <w:tcPr>
            <w:tcW w:w="0" w:type="auto"/>
            <w:hideMark/>
          </w:tcPr>
          <w:p w:rsidR="00000000" w:rsidRDefault="003E5AFF">
            <w:pPr>
              <w:pStyle w:val="NormalWeb"/>
              <w:ind w:left="720" w:hanging="240"/>
            </w:pPr>
            <w:r>
              <w:rPr>
                <w:rFonts w:ascii="Arial" w:hAnsi="Arial" w:cs="Arial"/>
              </w:rPr>
              <w:t>Shopping centers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01837291"/>
          <w:jc w:val="center"/>
        </w:trPr>
        <w:tc>
          <w:tcPr>
            <w:tcW w:w="0" w:type="auto"/>
            <w:shd w:val="clear" w:color="auto" w:fill="CCEEFF"/>
            <w:hideMark/>
          </w:tcPr>
          <w:p w:rsidR="00000000" w:rsidRDefault="003E5AFF">
            <w:pPr>
              <w:pStyle w:val="NormalWeb"/>
              <w:ind w:left="240" w:hanging="240"/>
            </w:pPr>
            <w:r>
              <w:rPr>
                <w:rFonts w:ascii="Arial" w:hAnsi="Arial" w:cs="Arial"/>
              </w:rPr>
              <w:t>Total number of store employees(7)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139,082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139,082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131,505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126,485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101,392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divId w:val="1601837291"/>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divId w:val="1601837291"/>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01837291"/>
        </w:trPr>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 square meters at period end. </w:t>
            </w:r>
          </w:p>
        </w:tc>
      </w:tr>
    </w:tbl>
    <w:p w:rsidR="00000000" w:rsidRDefault="003E5AFF">
      <w:pPr>
        <w:pStyle w:val="NormalWeb"/>
        <w:spacing w:before="0" w:beforeAutospacing="0" w:after="0" w:afterAutospacing="0"/>
        <w:divId w:val="1601837291"/>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01837291"/>
        </w:trPr>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Total leasable space for shopping centers does not include selling space occupied by our Jumbo, Paris and Easy stores in our shopping centers. </w:t>
            </w:r>
          </w:p>
        </w:tc>
      </w:tr>
    </w:tbl>
    <w:p w:rsidR="00000000" w:rsidRDefault="003E5AFF">
      <w:pPr>
        <w:pStyle w:val="NormalWeb"/>
        <w:spacing w:before="0" w:beforeAutospacing="0" w:after="0" w:afterAutospacing="0"/>
        <w:divId w:val="1601837291"/>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01837291"/>
        </w:trPr>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Total square meters of selling space or leasable space, as applicable, at period end divided by the total number of stores or shopping centers, as applicable, at period end. </w:t>
            </w:r>
          </w:p>
        </w:tc>
      </w:tr>
    </w:tbl>
    <w:p w:rsidR="00000000" w:rsidRDefault="003E5AFF">
      <w:pPr>
        <w:pStyle w:val="NormalWeb"/>
        <w:spacing w:before="0" w:beforeAutospacing="0" w:after="0" w:afterAutospacing="0"/>
        <w:divId w:val="1601837291"/>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01837291"/>
        </w:trPr>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Sales for the period divided by the number of stores or shopping c</w:t>
            </w:r>
            <w:r>
              <w:rPr>
                <w:rFonts w:ascii="Arial" w:eastAsia="Times New Roman" w:hAnsi="Arial" w:cs="Arial"/>
                <w:sz w:val="15"/>
                <w:szCs w:val="15"/>
              </w:rPr>
              <w:t xml:space="preserve">enters, as applicable, at the end of the period. </w:t>
            </w:r>
          </w:p>
        </w:tc>
      </w:tr>
    </w:tbl>
    <w:p w:rsidR="00000000" w:rsidRDefault="003E5AFF">
      <w:pPr>
        <w:pStyle w:val="NormalWeb"/>
        <w:spacing w:before="0" w:beforeAutospacing="0" w:after="0" w:afterAutospacing="0"/>
        <w:divId w:val="1601837291"/>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01837291"/>
        </w:trPr>
        <w:tc>
          <w:tcPr>
            <w:tcW w:w="100" w:type="pct"/>
            <w:hideMark/>
          </w:tcPr>
          <w:p w:rsidR="00000000" w:rsidRDefault="003E5AFF">
            <w:pPr>
              <w:rPr>
                <w:rFonts w:eastAsia="Times New Roman" w:cs="Times New Roman"/>
              </w:rPr>
            </w:pPr>
            <w:r>
              <w:rPr>
                <w:rFonts w:ascii="Arial" w:eastAsia="Times New Roman" w:hAnsi="Arial" w:cs="Arial"/>
                <w:sz w:val="15"/>
                <w:szCs w:val="15"/>
              </w:rPr>
              <w:t>(5)</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Reflects the sales of our stores operating throughout the same months of both financial periods being compared. If a store did not operate for a full month of either of the </w:t>
            </w:r>
            <w:r>
              <w:rPr>
                <w:rFonts w:ascii="Arial" w:eastAsia="Times New Roman" w:hAnsi="Arial" w:cs="Arial"/>
                <w:sz w:val="15"/>
                <w:szCs w:val="15"/>
              </w:rPr>
              <w:t>financial periods being compared, we exclude its sales for such month from both financial periods. For example, if a new store was opened on July 1, 2010 and operated throughout the last six months of 2010, (i) _same-store sales_ would include the sales of</w:t>
            </w:r>
            <w:r>
              <w:rPr>
                <w:rFonts w:ascii="Arial" w:eastAsia="Times New Roman" w:hAnsi="Arial" w:cs="Arial"/>
                <w:sz w:val="15"/>
                <w:szCs w:val="15"/>
              </w:rPr>
              <w:t xml:space="preserve"> that store for the last six months of 2010 and the last six months of 2011 and (ii) we would consider the sales of the new store during the first six months of 2011 as sales from a newly opened store. Calculated in local currency. </w:t>
            </w:r>
          </w:p>
        </w:tc>
      </w:tr>
    </w:tbl>
    <w:p w:rsidR="00000000" w:rsidRDefault="003E5AFF">
      <w:pPr>
        <w:pStyle w:val="NormalWeb"/>
        <w:spacing w:before="0" w:beforeAutospacing="0" w:after="0" w:afterAutospacing="0"/>
        <w:divId w:val="1601837291"/>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01837291"/>
        </w:trPr>
        <w:tc>
          <w:tcPr>
            <w:tcW w:w="100" w:type="pct"/>
            <w:hideMark/>
          </w:tcPr>
          <w:p w:rsidR="00000000" w:rsidRDefault="003E5AFF">
            <w:pPr>
              <w:rPr>
                <w:rFonts w:eastAsia="Times New Roman" w:cs="Times New Roman"/>
              </w:rPr>
            </w:pPr>
            <w:r>
              <w:rPr>
                <w:rFonts w:ascii="Arial" w:eastAsia="Times New Roman" w:hAnsi="Arial" w:cs="Arial"/>
                <w:sz w:val="15"/>
                <w:szCs w:val="15"/>
              </w:rPr>
              <w:t>(6)</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Sales fo</w:t>
            </w:r>
            <w:r>
              <w:rPr>
                <w:rFonts w:ascii="Arial" w:eastAsia="Times New Roman" w:hAnsi="Arial" w:cs="Arial"/>
                <w:sz w:val="15"/>
                <w:szCs w:val="15"/>
              </w:rPr>
              <w:t xml:space="preserve">r the period divided by the square meters of selling space or leasable space, as applicable, at the end of each month during the period. </w:t>
            </w:r>
          </w:p>
        </w:tc>
      </w:tr>
    </w:tbl>
    <w:p w:rsidR="00000000" w:rsidRDefault="003E5AFF">
      <w:pPr>
        <w:pStyle w:val="NormalWeb"/>
        <w:spacing w:before="0" w:beforeAutospacing="0" w:after="0" w:afterAutospacing="0"/>
        <w:divId w:val="1601837291"/>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rPr>
          <w:divId w:val="1601837291"/>
        </w:trPr>
        <w:tc>
          <w:tcPr>
            <w:tcW w:w="100" w:type="pct"/>
            <w:hideMark/>
          </w:tcPr>
          <w:p w:rsidR="00000000" w:rsidRDefault="003E5AFF">
            <w:pPr>
              <w:rPr>
                <w:rFonts w:eastAsia="Times New Roman" w:cs="Times New Roman"/>
              </w:rPr>
            </w:pPr>
            <w:r>
              <w:rPr>
                <w:rFonts w:ascii="Arial" w:eastAsia="Times New Roman" w:hAnsi="Arial" w:cs="Arial"/>
                <w:sz w:val="15"/>
                <w:szCs w:val="15"/>
              </w:rPr>
              <w:t>(7)</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Number of full-time employee equivalents at period end. </w:t>
            </w:r>
          </w:p>
        </w:tc>
      </w:tr>
    </w:tbl>
    <w:p w:rsidR="00000000" w:rsidRDefault="003E5AFF">
      <w:pPr>
        <w:pStyle w:val="NormalWeb"/>
        <w:spacing w:before="0" w:beforeAutospacing="0" w:after="0" w:afterAutospacing="0"/>
        <w:divId w:val="1601837291"/>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- 26 - </w:t>
      </w:r>
    </w:p>
    <w:p w:rsidR="00000000" w:rsidRDefault="003E5AFF">
      <w:pPr>
        <w:rPr>
          <w:rFonts w:eastAsia="Times New Roman" w:cs="Times New Roman"/>
        </w:rPr>
      </w:pPr>
      <w:r>
        <w:rPr>
          <w:rFonts w:eastAsia="Times New Roman" w:cs="Times New Roman"/>
        </w:rPr>
        <w:pict>
          <v:rect id="_x0000_i1060" style="width:441.9pt;height:3pt" o:hralign="center" o:hrstd="t" o:hrnoshade="t" o:hr="t" fillcolor="#999" stroked="f"/>
        </w:pict>
      </w:r>
    </w:p>
    <w:p w:rsidR="00000000" w:rsidRDefault="003E5AFF">
      <w:pPr>
        <w:pStyle w:val="Heading5"/>
        <w:rPr>
          <w:rFonts w:eastAsia="Times New Roman" w:cs="Times New Roman"/>
        </w:rPr>
      </w:pPr>
      <w:hyperlink r:id="rId7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5" w:name="rom343004_4"/>
      <w:bookmarkEnd w:id="5"/>
      <w:r>
        <w:rPr>
          <w:rFonts w:ascii="Arial" w:hAnsi="Arial" w:cs="Arial"/>
          <w:b/>
          <w:bCs/>
          <w:sz w:val="36"/>
          <w:szCs w:val="36"/>
        </w:rPr>
        <w:t xml:space="preserve">Risk factors </w:t>
      </w:r>
    </w:p>
    <w:p w:rsidR="00000000" w:rsidRDefault="003E5AFF">
      <w:pPr>
        <w:pStyle w:val="NormalWeb"/>
        <w:spacing w:before="120" w:beforeAutospacing="0" w:after="0" w:afterAutospacing="0"/>
      </w:pPr>
      <w:r>
        <w:rPr>
          <w:rFonts w:ascii="Arial" w:hAnsi="Arial" w:cs="Arial"/>
          <w:i/>
          <w:iCs/>
        </w:rPr>
        <w:t>Investing in our shares of common stock or ADSs involves a high degree of risk. Before making an investment decision, you should carefully consider the information contained in this prospectus, particularly the risks described below, as well as in our fina</w:t>
      </w:r>
      <w:r>
        <w:rPr>
          <w:rFonts w:ascii="Arial" w:hAnsi="Arial" w:cs="Arial"/>
          <w:i/>
          <w:iCs/>
        </w:rPr>
        <w:t>ncial statements and accompanying notes. Our business activities, cash flow, financial condition and results of operations could be materially and adversely affected by any of these risks. The market price of our shares of common stock and the ADSs may dec</w:t>
      </w:r>
      <w:r>
        <w:rPr>
          <w:rFonts w:ascii="Arial" w:hAnsi="Arial" w:cs="Arial"/>
          <w:i/>
          <w:iCs/>
        </w:rPr>
        <w:t xml:space="preserve">rease due to any of these risks or other factors, and you may lose all or part of your investment. The risks described below are those that we currently believe may materially affect us. </w:t>
      </w:r>
    </w:p>
    <w:p w:rsidR="00000000" w:rsidRDefault="003E5AFF">
      <w:pPr>
        <w:pStyle w:val="NormalWeb"/>
        <w:spacing w:before="240" w:beforeAutospacing="0" w:after="0" w:afterAutospacing="0"/>
      </w:pPr>
      <w:r>
        <w:rPr>
          <w:rFonts w:ascii="Arial" w:hAnsi="Arial" w:cs="Arial"/>
          <w:b/>
          <w:bCs/>
          <w:sz w:val="24"/>
          <w:szCs w:val="24"/>
        </w:rPr>
        <w:t xml:space="preserve">Risks related to our business and our industries </w:t>
      </w:r>
    </w:p>
    <w:p w:rsidR="00000000" w:rsidRDefault="003E5AFF">
      <w:pPr>
        <w:pStyle w:val="NormalWeb"/>
        <w:spacing w:before="120" w:beforeAutospacing="0" w:after="0" w:afterAutospacing="0"/>
      </w:pPr>
      <w:r>
        <w:rPr>
          <w:rFonts w:ascii="Arial" w:hAnsi="Arial" w:cs="Arial"/>
          <w:b/>
          <w:bCs/>
          <w:i/>
          <w:iCs/>
        </w:rPr>
        <w:t>Economic condition</w:t>
      </w:r>
      <w:r>
        <w:rPr>
          <w:rFonts w:ascii="Arial" w:hAnsi="Arial" w:cs="Arial"/>
          <w:b/>
          <w:bCs/>
          <w:i/>
          <w:iCs/>
        </w:rPr>
        <w:t xml:space="preserve">s that impact consumer spending could materially affect us. </w:t>
      </w:r>
    </w:p>
    <w:p w:rsidR="00000000" w:rsidRDefault="003E5AFF">
      <w:pPr>
        <w:pStyle w:val="NormalWeb"/>
        <w:spacing w:before="120" w:beforeAutospacing="0" w:after="0" w:afterAutospacing="0"/>
      </w:pPr>
      <w:r>
        <w:rPr>
          <w:rFonts w:ascii="Arial" w:hAnsi="Arial" w:cs="Arial"/>
        </w:rPr>
        <w:t xml:space="preserve">Ongoing economic uncertainty in the world economy could negatively affect consumer confidence and spending, including discretionary spending. We may be materially affected by changes in economic </w:t>
      </w:r>
      <w:r>
        <w:rPr>
          <w:rFonts w:ascii="Arial" w:hAnsi="Arial" w:cs="Arial"/>
        </w:rPr>
        <w:t>conditions in the markets or in the regions in which we operate that impact consumer confidence and spending, including discretionary spending. This risk may be exacerbated if customers choose lower-cost alternatives to our product offerings in response to</w:t>
      </w:r>
      <w:r>
        <w:rPr>
          <w:rFonts w:ascii="Arial" w:hAnsi="Arial" w:cs="Arial"/>
        </w:rPr>
        <w:t xml:space="preserve"> economic conditions. In particular, a decrease in discretionary spending could materially and adversely impact sales of certain of our high-margin product offerings. Future economic conditions affecting disposable consumer income, such as employment level</w:t>
      </w:r>
      <w:r>
        <w:rPr>
          <w:rFonts w:ascii="Arial" w:hAnsi="Arial" w:cs="Arial"/>
        </w:rPr>
        <w:t>s, business conditions, changes in housing market conditions, the availability of credit, interest rates, tax rates and fuel and energy costs, could also reduce overall consumer spending or cause consumers to shift their spending to lower-priced competitor</w:t>
      </w:r>
      <w:r>
        <w:rPr>
          <w:rFonts w:ascii="Arial" w:hAnsi="Arial" w:cs="Arial"/>
        </w:rPr>
        <w:t>s. In addition, inflation or deflation can impact our business. Deflation in food prices could reduce sales growth and earnings, while inflation in food prices, combined with reduced consumer spending, could reduce our margins. Accordingly, we cannot assur</w:t>
      </w:r>
      <w:r>
        <w:rPr>
          <w:rFonts w:ascii="Arial" w:hAnsi="Arial" w:cs="Arial"/>
        </w:rPr>
        <w:t xml:space="preserve">e you that in the event of an increase in inflation we will be able to pass on a price increase to our customers, which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We face intense competition in each of our markets. </w:t>
      </w:r>
    </w:p>
    <w:p w:rsidR="00000000" w:rsidRDefault="003E5AFF">
      <w:pPr>
        <w:pStyle w:val="NormalWeb"/>
        <w:spacing w:before="120" w:beforeAutospacing="0" w:after="0" w:afterAutospacing="0"/>
      </w:pPr>
      <w:r>
        <w:rPr>
          <w:rFonts w:ascii="Arial" w:hAnsi="Arial" w:cs="Arial"/>
        </w:rPr>
        <w:t xml:space="preserve">The retail industry in each of Chile, </w:t>
      </w:r>
      <w:r>
        <w:rPr>
          <w:rFonts w:ascii="Arial" w:hAnsi="Arial" w:cs="Arial"/>
        </w:rPr>
        <w:t>Argentina, Brazil, Peru and Colombia is characterized by intense competition and increasing pressure on profit margins. The number and type of competitors and the degree of competition experienced by individual stores varies by location. Competition occurs</w:t>
      </w:r>
      <w:r>
        <w:rPr>
          <w:rFonts w:ascii="Arial" w:hAnsi="Arial" w:cs="Arial"/>
        </w:rPr>
        <w:t xml:space="preserve"> on the basis of price, location, quality of products and service, product variety and store conditions. We face strong competition from international and domestic operators of supermarkets, home improvement stores, department stores and shopping centers, </w:t>
      </w:r>
      <w:r>
        <w:rPr>
          <w:rFonts w:ascii="Arial" w:hAnsi="Arial" w:cs="Arial"/>
        </w:rPr>
        <w:t>including Carrefour, Wal-Mart, Falabella and Casino, and providers of financial services, and it is possible that in the future other large international retailers or financial services providers may enter the markets in which we compete, either through jo</w:t>
      </w:r>
      <w:r>
        <w:rPr>
          <w:rFonts w:ascii="Arial" w:hAnsi="Arial" w:cs="Arial"/>
        </w:rPr>
        <w:t>int ventures or directly. Some of our competitors have significantly greater financial resources than we do and could use these resources to take steps that could have a material and adverse effect on us. We also compete with numerous local and regional su</w:t>
      </w:r>
      <w:r>
        <w:rPr>
          <w:rFonts w:ascii="Arial" w:hAnsi="Arial" w:cs="Arial"/>
        </w:rPr>
        <w:t xml:space="preserve">permarket and retail store chains, as well as with small, family-owned neighborhood stores, informal markets, and street vendors. See _Business_Competition_ and _Industry Overview and Competition._ </w:t>
      </w:r>
    </w:p>
    <w:p w:rsidR="00000000" w:rsidRDefault="003E5AFF">
      <w:pPr>
        <w:pStyle w:val="NormalWeb"/>
        <w:spacing w:before="120" w:beforeAutospacing="0" w:after="0" w:afterAutospacing="0"/>
      </w:pPr>
      <w:r>
        <w:rPr>
          <w:rFonts w:ascii="Arial" w:hAnsi="Arial" w:cs="Arial"/>
        </w:rPr>
        <w:t xml:space="preserve">Increasing competition may cause us to lower our prices, </w:t>
      </w:r>
      <w:r>
        <w:rPr>
          <w:rFonts w:ascii="Arial" w:hAnsi="Arial" w:cs="Arial"/>
        </w:rPr>
        <w:t xml:space="preserve">increase expenditures and take other actions that could have a material adverse effect on us or compel us to reduce our planned growth, acquisitions and capital expenditures. As other retailers expand their operations in Chile,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- 27 - </w:t>
      </w:r>
    </w:p>
    <w:p w:rsidR="00000000" w:rsidRDefault="003E5AFF">
      <w:pPr>
        <w:rPr>
          <w:rFonts w:eastAsia="Times New Roman" w:cs="Times New Roman"/>
        </w:rPr>
      </w:pPr>
      <w:r>
        <w:rPr>
          <w:rFonts w:eastAsia="Times New Roman" w:cs="Times New Roman"/>
        </w:rPr>
        <w:pict>
          <v:rect id="_x0000_i1061" style="width:441.9pt;height:3pt" o:hralign="center" o:hrstd="t" o:hrnoshade="t" o:hr="t" fillcolor="#999" stroked="f"/>
        </w:pict>
      </w:r>
    </w:p>
    <w:p w:rsidR="00000000" w:rsidRDefault="003E5AFF">
      <w:pPr>
        <w:pStyle w:val="Heading5"/>
        <w:rPr>
          <w:rFonts w:eastAsia="Times New Roman" w:cs="Times New Roman"/>
        </w:rPr>
      </w:pPr>
      <w:hyperlink r:id="rId7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Argentina, Brazil, Peru and Colombia, and other internation</w:t>
      </w:r>
      <w:r>
        <w:rPr>
          <w:rFonts w:ascii="Arial" w:hAnsi="Arial" w:cs="Arial"/>
        </w:rPr>
        <w:t>al retailers enter these markets, competition will continue to intensify. Our inability to respond effectively to competitive pressures and changes in the retail markets could have a material adverse effect on us, including as a result of our losing market</w:t>
      </w:r>
      <w:r>
        <w:rPr>
          <w:rFonts w:ascii="Arial" w:hAnsi="Arial" w:cs="Arial"/>
        </w:rPr>
        <w:t xml:space="preserve"> share. </w:t>
      </w:r>
    </w:p>
    <w:p w:rsidR="00000000" w:rsidRDefault="003E5AFF">
      <w:pPr>
        <w:pStyle w:val="NormalWeb"/>
        <w:spacing w:before="120" w:beforeAutospacing="0" w:after="0" w:afterAutospacing="0"/>
      </w:pPr>
      <w:r>
        <w:rPr>
          <w:rFonts w:ascii="Arial" w:hAnsi="Arial" w:cs="Arial"/>
          <w:b/>
          <w:bCs/>
          <w:i/>
          <w:iCs/>
        </w:rPr>
        <w:t xml:space="preserve">Our traditional retail stores, supermarkets and shopping centers face increasing competition from internet sales which may negatively affect sales of traditional channels. </w:t>
      </w:r>
    </w:p>
    <w:p w:rsidR="00000000" w:rsidRDefault="003E5AFF">
      <w:pPr>
        <w:pStyle w:val="NormalWeb"/>
        <w:spacing w:before="120" w:beforeAutospacing="0" w:after="0" w:afterAutospacing="0"/>
      </w:pPr>
      <w:r>
        <w:rPr>
          <w:rFonts w:ascii="Arial" w:hAnsi="Arial" w:cs="Arial"/>
        </w:rPr>
        <w:t>In recent years, retail sales of food, clothing and home improvement products over the internet have increased significantly in each of the countries in which we operate. Internet retailers are able to sell directly to consumers, diminishing the importance</w:t>
      </w:r>
      <w:r>
        <w:rPr>
          <w:rFonts w:ascii="Arial" w:hAnsi="Arial" w:cs="Arial"/>
        </w:rPr>
        <w:t xml:space="preserve"> of traditional distribution channels such as supermarkets and retail stores. Certain internet food retailers have significantly lower operating costs than traditional hypermarkets and supermarkets because they do not rely on an expensive network of retail</w:t>
      </w:r>
      <w:r>
        <w:rPr>
          <w:rFonts w:ascii="Arial" w:hAnsi="Arial" w:cs="Arial"/>
        </w:rPr>
        <w:t xml:space="preserve"> points of sale or a large sales force. As a result, such internet food retailers are able to offer their products at lower costs than we do and in certain cases are able to bypass retailing intermediaries and deliver particularly high quality, fresh produ</w:t>
      </w:r>
      <w:r>
        <w:rPr>
          <w:rFonts w:ascii="Arial" w:hAnsi="Arial" w:cs="Arial"/>
        </w:rPr>
        <w:t>cts to consumers. We believe that our consumers are increasingly using the internet to shop electronically for food and other retail goods, and that this trend is likely to continue. If internet sales continue to grow, consumers_ reliance on traditional di</w:t>
      </w:r>
      <w:r>
        <w:rPr>
          <w:rFonts w:ascii="Arial" w:hAnsi="Arial" w:cs="Arial"/>
        </w:rPr>
        <w:t xml:space="preserve">stribution channels such as our supermarkets, home improvement stores, department stores and shopping centers could be materially diminished, which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Our markets are undergoing rapid consolidation. </w:t>
      </w:r>
    </w:p>
    <w:p w:rsidR="00000000" w:rsidRDefault="003E5AFF">
      <w:pPr>
        <w:pStyle w:val="NormalWeb"/>
        <w:spacing w:before="120" w:beforeAutospacing="0" w:after="0" w:afterAutospacing="0"/>
      </w:pPr>
      <w:r>
        <w:rPr>
          <w:rFonts w:ascii="Arial" w:hAnsi="Arial" w:cs="Arial"/>
        </w:rPr>
        <w:t xml:space="preserve">Over the last </w:t>
      </w:r>
      <w:r>
        <w:rPr>
          <w:rFonts w:ascii="Arial" w:hAnsi="Arial" w:cs="Arial"/>
        </w:rPr>
        <w:t>several years, the food, department store and home improvement retail sectors in Chile, Argentina, Brazil, Peru and Colombia have been undergoing consolidation as large retail chains have gained market share at the expense of small, independently owned and</w:t>
      </w:r>
      <w:r>
        <w:rPr>
          <w:rFonts w:ascii="Arial" w:hAnsi="Arial" w:cs="Arial"/>
        </w:rPr>
        <w:t xml:space="preserve"> operated stores, and large local and international supermarket chains have consolidated. We believe that further consolidation will likely occur in all of these markets as competition intensifies and economies of scale become increasingly important. Some </w:t>
      </w:r>
      <w:r>
        <w:rPr>
          <w:rFonts w:ascii="Arial" w:hAnsi="Arial" w:cs="Arial"/>
        </w:rPr>
        <w:t>of our competitors are larger and better capitalized than we are and as a result are likely to be better positioned to take advantage of strategic acquisition opportunities. We cannot assure you that such market consolidation will not occur to the material</w:t>
      </w:r>
      <w:r>
        <w:rPr>
          <w:rFonts w:ascii="Arial" w:hAnsi="Arial" w:cs="Arial"/>
        </w:rPr>
        <w:t xml:space="preserve"> detriment of our market position or that such developments will not have a material adverse effect on us. </w:t>
      </w:r>
    </w:p>
    <w:p w:rsidR="00000000" w:rsidRDefault="003E5AFF">
      <w:pPr>
        <w:pStyle w:val="NormalWeb"/>
        <w:spacing w:before="120" w:beforeAutospacing="0" w:after="0" w:afterAutospacing="0"/>
      </w:pPr>
      <w:r>
        <w:rPr>
          <w:rFonts w:ascii="Arial" w:hAnsi="Arial" w:cs="Arial"/>
          <w:b/>
          <w:bCs/>
          <w:i/>
          <w:iCs/>
        </w:rPr>
        <w:t xml:space="preserve">Our growth in recent years has been due to a series of significant acquisitions which are not likely to be repeated in future periods. </w:t>
      </w:r>
    </w:p>
    <w:p w:rsidR="00000000" w:rsidRDefault="003E5AFF">
      <w:pPr>
        <w:pStyle w:val="NormalWeb"/>
        <w:spacing w:before="120" w:beforeAutospacing="0" w:after="0" w:afterAutospacing="0"/>
      </w:pPr>
      <w:r>
        <w:rPr>
          <w:rFonts w:ascii="Arial" w:hAnsi="Arial" w:cs="Arial"/>
        </w:rPr>
        <w:t>We may not b</w:t>
      </w:r>
      <w:r>
        <w:rPr>
          <w:rFonts w:ascii="Arial" w:hAnsi="Arial" w:cs="Arial"/>
        </w:rPr>
        <w:t>e able to successfully execute our growth strategy through acquisitions as done in the past. As a result of the consolidation that has occurred in the retail industry, a significant component of our growth in recent years has occurred through acquisitions.</w:t>
      </w:r>
      <w:r>
        <w:rPr>
          <w:rFonts w:ascii="Arial" w:hAnsi="Arial" w:cs="Arial"/>
        </w:rPr>
        <w:t xml:space="preserve"> In particular, we acquired various supermarket and department store chains in recent years, including Paris in Chile in 2005, GBarbosa in Brazil in 2007, Wong in Peru in 2008, Perini, Super Familia and Bretas in Brazil in 2010, Cardoso in Brazil and Johns</w:t>
      </w:r>
      <w:r>
        <w:rPr>
          <w:rFonts w:ascii="Arial" w:hAnsi="Arial" w:cs="Arial"/>
        </w:rPr>
        <w:t>on_s in Chile in 2011 and Prezunic in Brazil in 2012. As noted above, we believe that further consolidation is likely to occur in the industries in which we operate. However, some of our principal competitors are larger than we are and are likely to be bet</w:t>
      </w:r>
      <w:r>
        <w:rPr>
          <w:rFonts w:ascii="Arial" w:hAnsi="Arial" w:cs="Arial"/>
        </w:rPr>
        <w:t>ter positioned to take advantage of strategic acquisition and consolidation opportunities. We cannot assure you that in the future there will be continued availability of suitable acquisition candidates at favorable prices and upon advantageous terms and c</w:t>
      </w:r>
      <w:r>
        <w:rPr>
          <w:rFonts w:ascii="Arial" w:hAnsi="Arial" w:cs="Arial"/>
        </w:rPr>
        <w:t xml:space="preserve">onditions or that we will be able to compete with our competitors for any future acquisitions. As a result, our growth rate is likely to be significantly lower than it has been in recent years, which may have a material adverse effect on 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- 28 - </w:t>
      </w:r>
    </w:p>
    <w:p w:rsidR="00000000" w:rsidRDefault="003E5AFF">
      <w:pPr>
        <w:rPr>
          <w:rFonts w:eastAsia="Times New Roman" w:cs="Times New Roman"/>
        </w:rPr>
      </w:pPr>
      <w:r>
        <w:rPr>
          <w:rFonts w:eastAsia="Times New Roman" w:cs="Times New Roman"/>
        </w:rPr>
        <w:pict>
          <v:rect id="_x0000_i1062" style="width:441.9pt;height:3pt" o:hralign="center" o:hrstd="t" o:hrnoshade="t" o:hr="t" fillcolor="#999" stroked="f"/>
        </w:pict>
      </w:r>
    </w:p>
    <w:p w:rsidR="00000000" w:rsidRDefault="003E5AFF">
      <w:pPr>
        <w:pStyle w:val="Heading5"/>
        <w:rPr>
          <w:rFonts w:eastAsia="Times New Roman" w:cs="Times New Roman"/>
        </w:rPr>
      </w:pPr>
      <w:hyperlink r:id="rId7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A failure to successfully integrate acquired businesses may have a material adverse effect us. </w:t>
      </w:r>
    </w:p>
    <w:p w:rsidR="00000000" w:rsidRDefault="003E5AFF">
      <w:pPr>
        <w:pStyle w:val="NormalWeb"/>
        <w:spacing w:before="120" w:beforeAutospacing="0" w:after="0" w:afterAutospacing="0"/>
      </w:pPr>
      <w:r>
        <w:rPr>
          <w:rFonts w:ascii="Arial" w:hAnsi="Arial" w:cs="Arial"/>
        </w:rPr>
        <w:t>Over the past several years, we have completed a number of important acquis</w:t>
      </w:r>
      <w:r>
        <w:rPr>
          <w:rFonts w:ascii="Arial" w:hAnsi="Arial" w:cs="Arial"/>
        </w:rPr>
        <w:t>itions and may continue to make acquisitions in the future. We believe that these acquisitions provide strategic growth opportunities for us. Achieving the anticipated benefits of these acquisitions will depend in part upon our ability to integrate these b</w:t>
      </w:r>
      <w:r>
        <w:rPr>
          <w:rFonts w:ascii="Arial" w:hAnsi="Arial" w:cs="Arial"/>
        </w:rPr>
        <w:t>usinesses in an efficient and effective manner. The challenges involved in successfully integrating acquisitions include: we may find that the acquired company or assets do not further our business strategy, or that we overestimated the expected benefits t</w:t>
      </w:r>
      <w:r>
        <w:rPr>
          <w:rFonts w:ascii="Arial" w:hAnsi="Arial" w:cs="Arial"/>
        </w:rPr>
        <w:t>o be derived from the acquisitions, overpaid for the company or assets, or that economic conditions have changed, all of which may result in a future impairment charge; we may have difficulty integrating the operations and personnel of the acquired busines</w:t>
      </w:r>
      <w:r>
        <w:rPr>
          <w:rFonts w:ascii="Arial" w:hAnsi="Arial" w:cs="Arial"/>
        </w:rPr>
        <w:t>s and may have difficulty retaining the customers and/or the key personnel of the acquired business; we may have difficulty incorporating and integrating acquired technologies into our business; our ongoing business and management_s attention may be disrup</w:t>
      </w:r>
      <w:r>
        <w:rPr>
          <w:rFonts w:ascii="Arial" w:hAnsi="Arial" w:cs="Arial"/>
        </w:rPr>
        <w:t>ted or diverted by transition or integration issues and the complexity of managing diverse locations; we may have difficulty maintaining uniform standards, controls, procedures and policies across locations; an acquisition may result in litigation from ter</w:t>
      </w:r>
      <w:r>
        <w:rPr>
          <w:rFonts w:ascii="Arial" w:hAnsi="Arial" w:cs="Arial"/>
        </w:rPr>
        <w:t>minated employees of the acquired business or third parties; and we may experience significant problems or liabilities associated with technology and legal contingencies of the acquired business. These factors could have a material adverse effect on us, pa</w:t>
      </w:r>
      <w:r>
        <w:rPr>
          <w:rFonts w:ascii="Arial" w:hAnsi="Arial" w:cs="Arial"/>
        </w:rPr>
        <w:t xml:space="preserve">rticularly in the case of a larger acquisition or multiple acquisitions in a short period of time. Our inability to successfully integrate our acquisitions could have a material adverse effect on us. </w:t>
      </w:r>
    </w:p>
    <w:p w:rsidR="00000000" w:rsidRDefault="003E5AFF">
      <w:pPr>
        <w:pStyle w:val="NormalWeb"/>
        <w:spacing w:before="120" w:beforeAutospacing="0" w:after="0" w:afterAutospacing="0"/>
      </w:pPr>
      <w:r>
        <w:rPr>
          <w:rFonts w:ascii="Arial" w:hAnsi="Arial" w:cs="Arial"/>
          <w:b/>
          <w:bCs/>
          <w:i/>
          <w:iCs/>
        </w:rPr>
        <w:t>The expansion of our business through acquisitions pose</w:t>
      </w:r>
      <w:r>
        <w:rPr>
          <w:rFonts w:ascii="Arial" w:hAnsi="Arial" w:cs="Arial"/>
          <w:b/>
          <w:bCs/>
          <w:i/>
          <w:iCs/>
        </w:rPr>
        <w:t xml:space="preserve">s risks that may reduce the benefits we anticipate from these transactions. </w:t>
      </w:r>
    </w:p>
    <w:p w:rsidR="00000000" w:rsidRDefault="003E5AFF">
      <w:pPr>
        <w:pStyle w:val="NormalWeb"/>
        <w:spacing w:before="120" w:beforeAutospacing="0" w:after="0" w:afterAutospacing="0"/>
      </w:pPr>
      <w:r>
        <w:rPr>
          <w:rFonts w:ascii="Arial" w:hAnsi="Arial" w:cs="Arial"/>
        </w:rPr>
        <w:t>As part of our business strategy, we have grown significantly through acquisitions. Our decision to pursue an acquisition is based on our belief that such acquisition will complem</w:t>
      </w:r>
      <w:r>
        <w:rPr>
          <w:rFonts w:ascii="Arial" w:hAnsi="Arial" w:cs="Arial"/>
        </w:rPr>
        <w:t>ent our business strategy and grow our business. However, our management is unable to predict whether or when any prospective acquisitions will occur, or the likelihood of a certain transaction being completed on favorable terms and conditions. Our ability</w:t>
      </w:r>
      <w:r>
        <w:rPr>
          <w:rFonts w:ascii="Arial" w:hAnsi="Arial" w:cs="Arial"/>
        </w:rPr>
        <w:t xml:space="preserve"> to continue to expand our business successfully through acquisitions depends on many factors, including our ability to identify acquisitions, the ability to negotiate favorable transaction terms and our ability to finance any such acquisition from interna</w:t>
      </w:r>
      <w:r>
        <w:rPr>
          <w:rFonts w:ascii="Arial" w:hAnsi="Arial" w:cs="Arial"/>
        </w:rPr>
        <w:t>l or external sources. Even if we are able to identify acquisition targets and obtain the necessary financing to make these acquisitions, it is possible that the cost of doing so, taken together with possible adverse market conditions and resulting loss of</w:t>
      </w:r>
      <w:r>
        <w:rPr>
          <w:rFonts w:ascii="Arial" w:hAnsi="Arial" w:cs="Arial"/>
        </w:rPr>
        <w:t xml:space="preserve"> revenues or net income, could financially overextend us. </w:t>
      </w:r>
    </w:p>
    <w:p w:rsidR="00000000" w:rsidRDefault="003E5AFF">
      <w:pPr>
        <w:pStyle w:val="NormalWeb"/>
        <w:spacing w:before="120" w:beforeAutospacing="0" w:after="0" w:afterAutospacing="0"/>
      </w:pPr>
      <w:r>
        <w:rPr>
          <w:rFonts w:ascii="Arial" w:hAnsi="Arial" w:cs="Arial"/>
        </w:rPr>
        <w:t>Acquisitions also expose us to the risk of successor liability relating to litigation, tax claims or other actions involving an acquired company, its management or contingent liabilities incurred b</w:t>
      </w:r>
      <w:r>
        <w:rPr>
          <w:rFonts w:ascii="Arial" w:hAnsi="Arial" w:cs="Arial"/>
        </w:rPr>
        <w:t>efore the acquisition. The due diligence we conduct in connection with an acquisition, and any contractual guarantees or indemnities that we receive from the sellers of acquired companies, may not be sufficient to protect us from, or compensate us for, act</w:t>
      </w:r>
      <w:r>
        <w:rPr>
          <w:rFonts w:ascii="Arial" w:hAnsi="Arial" w:cs="Arial"/>
        </w:rPr>
        <w:t xml:space="preserve">ual or potential liabilities. Any material liability associated with an acquisition could have a material adverse effect on us, including our reputation, and reduce the benefits of such acquisition. </w:t>
      </w:r>
    </w:p>
    <w:p w:rsidR="00000000" w:rsidRDefault="003E5AFF">
      <w:pPr>
        <w:pStyle w:val="NormalWeb"/>
        <w:spacing w:before="120" w:beforeAutospacing="0" w:after="0" w:afterAutospacing="0"/>
      </w:pPr>
      <w:r>
        <w:rPr>
          <w:rFonts w:ascii="Arial" w:hAnsi="Arial" w:cs="Arial"/>
          <w:b/>
          <w:bCs/>
          <w:i/>
          <w:iCs/>
        </w:rPr>
        <w:t>Antitrust laws in Chile, Argentina, Brazil, Peru or Colo</w:t>
      </w:r>
      <w:r>
        <w:rPr>
          <w:rFonts w:ascii="Arial" w:hAnsi="Arial" w:cs="Arial"/>
          <w:b/>
          <w:bCs/>
          <w:i/>
          <w:iCs/>
        </w:rPr>
        <w:t xml:space="preserve">mbia could limit our ability to expand our business through acquisitions or joint ventures. </w:t>
      </w:r>
    </w:p>
    <w:p w:rsidR="00000000" w:rsidRDefault="003E5AFF">
      <w:pPr>
        <w:pStyle w:val="NormalWeb"/>
        <w:spacing w:before="120" w:beforeAutospacing="0" w:after="0" w:afterAutospacing="0"/>
      </w:pPr>
      <w:r>
        <w:rPr>
          <w:rFonts w:ascii="Arial" w:hAnsi="Arial" w:cs="Arial"/>
        </w:rPr>
        <w:t>Chilean, Argentine, Brazilian, and Colombian antitrust laws contain provisions that require authorization by the antitrust authorities in those countries for the a</w:t>
      </w:r>
      <w:r>
        <w:rPr>
          <w:rFonts w:ascii="Arial" w:hAnsi="Arial" w:cs="Arial"/>
        </w:rPr>
        <w:t xml:space="preserve">cquisition of, or entering into joint venture agreements with, companies with a relevant market share. Such authorizations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- 29 - </w:t>
      </w:r>
    </w:p>
    <w:p w:rsidR="00000000" w:rsidRDefault="003E5AFF">
      <w:pPr>
        <w:rPr>
          <w:rFonts w:eastAsia="Times New Roman" w:cs="Times New Roman"/>
        </w:rPr>
      </w:pPr>
      <w:r>
        <w:rPr>
          <w:rFonts w:eastAsia="Times New Roman" w:cs="Times New Roman"/>
        </w:rPr>
        <w:pict>
          <v:rect id="_x0000_i1063" style="width:441.9pt;height:3pt" o:hralign="center" o:hrstd="t" o:hrnoshade="t" o:hr="t" fillcolor="#999" stroked="f"/>
        </w:pict>
      </w:r>
    </w:p>
    <w:p w:rsidR="00000000" w:rsidRDefault="003E5AFF">
      <w:pPr>
        <w:pStyle w:val="Heading5"/>
        <w:rPr>
          <w:rFonts w:eastAsia="Times New Roman" w:cs="Times New Roman"/>
        </w:rPr>
      </w:pPr>
      <w:hyperlink r:id="rId8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have been denied in some ca</w:t>
      </w:r>
      <w:r>
        <w:rPr>
          <w:rFonts w:ascii="Arial" w:hAnsi="Arial" w:cs="Arial"/>
        </w:rPr>
        <w:t xml:space="preserve">ses involving the industries in which we operate, as occurred in Chile with the denial by the </w:t>
      </w:r>
      <w:r>
        <w:rPr>
          <w:rFonts w:ascii="Arial" w:hAnsi="Arial" w:cs="Arial"/>
          <w:i/>
          <w:iCs/>
        </w:rPr>
        <w:t>Tribunal de Defensa de la Libre Competencia</w:t>
      </w:r>
      <w:r>
        <w:rPr>
          <w:rFonts w:ascii="Arial" w:hAnsi="Arial" w:cs="Arial"/>
        </w:rPr>
        <w:t xml:space="preserve"> (the Chilean Antitrust Court) of the merger between Distribucion y Servicio D&amp;S S.A. (_D&amp;S_) and Falabella in January </w:t>
      </w:r>
      <w:r>
        <w:rPr>
          <w:rFonts w:ascii="Arial" w:hAnsi="Arial" w:cs="Arial"/>
        </w:rPr>
        <w:t xml:space="preserve">2008. Peru does not currently apply such controls, but we cannot assure you that it will not impose them in the future. Accordingly, our ability to expand our business through acquisitions in Chile, Argentina, Brazil, Peru and Colombia may be limited. </w:t>
      </w:r>
    </w:p>
    <w:p w:rsidR="00000000" w:rsidRDefault="003E5AFF">
      <w:pPr>
        <w:pStyle w:val="NormalWeb"/>
        <w:spacing w:before="120" w:beforeAutospacing="0" w:after="0" w:afterAutospacing="0"/>
      </w:pPr>
      <w:r>
        <w:rPr>
          <w:rFonts w:ascii="Arial" w:hAnsi="Arial" w:cs="Arial"/>
        </w:rPr>
        <w:t>Mor</w:t>
      </w:r>
      <w:r>
        <w:rPr>
          <w:rFonts w:ascii="Arial" w:hAnsi="Arial" w:cs="Arial"/>
        </w:rPr>
        <w:t>eover, on December 14, 2011, the Chilean antitrust authority (</w:t>
      </w:r>
      <w:r>
        <w:rPr>
          <w:rFonts w:ascii="Arial" w:hAnsi="Arial" w:cs="Arial"/>
          <w:i/>
          <w:iCs/>
        </w:rPr>
        <w:t>Fiscal_a Nacional Econ_mica</w:t>
      </w:r>
      <w:r>
        <w:rPr>
          <w:rFonts w:ascii="Arial" w:hAnsi="Arial" w:cs="Arial"/>
        </w:rPr>
        <w:t>, or _FNE_) announced an investigation into anti-competitive practices in the food retail industry. The investigation includes several local operators, including Cenco</w:t>
      </w:r>
      <w:r>
        <w:rPr>
          <w:rFonts w:ascii="Arial" w:hAnsi="Arial" w:cs="Arial"/>
        </w:rPr>
        <w:t>sud, Wal-Mart Chile, SMU and Tottus. In accordance with Chilean regulations, FNE has not disclosed the details of the investigation to the public, but it appears to be focused on private label groceries, fresh poultry and beef. Without additional detail it</w:t>
      </w:r>
      <w:r>
        <w:rPr>
          <w:rFonts w:ascii="Arial" w:hAnsi="Arial" w:cs="Arial"/>
        </w:rPr>
        <w:t xml:space="preserve"> is difficult to determine the full impact of this investigation. If the FNE concludes that we engaged in anti-competitive practices we could face a maximum sanction of up to U.S.$30 million. We cannot assure you that this investigation, or future investig</w:t>
      </w:r>
      <w:r>
        <w:rPr>
          <w:rFonts w:ascii="Arial" w:hAnsi="Arial" w:cs="Arial"/>
        </w:rPr>
        <w:t xml:space="preserve">ations, will not result in a material adverse effect on us, including financial and reputational harm. </w:t>
      </w:r>
    </w:p>
    <w:p w:rsidR="00000000" w:rsidRDefault="003E5AFF">
      <w:pPr>
        <w:pStyle w:val="NormalWeb"/>
        <w:spacing w:before="120" w:beforeAutospacing="0" w:after="0" w:afterAutospacing="0"/>
      </w:pPr>
      <w:r>
        <w:rPr>
          <w:rFonts w:ascii="Arial" w:hAnsi="Arial" w:cs="Arial"/>
          <w:b/>
          <w:bCs/>
          <w:i/>
          <w:iCs/>
        </w:rPr>
        <w:t xml:space="preserve">We may not be able to generate or obtain the capital we need for further expansion. </w:t>
      </w:r>
    </w:p>
    <w:p w:rsidR="00000000" w:rsidRDefault="003E5AFF">
      <w:pPr>
        <w:pStyle w:val="NormalWeb"/>
        <w:spacing w:before="120" w:beforeAutospacing="0" w:after="0" w:afterAutospacing="0"/>
      </w:pPr>
      <w:r>
        <w:rPr>
          <w:rFonts w:ascii="Arial" w:hAnsi="Arial" w:cs="Arial"/>
        </w:rPr>
        <w:t>We expect to continue to have substantial liquidity and capital res</w:t>
      </w:r>
      <w:r>
        <w:rPr>
          <w:rFonts w:ascii="Arial" w:hAnsi="Arial" w:cs="Arial"/>
        </w:rPr>
        <w:t>ource requirements to finance our business. We intend to rely upon internally generated cash from our operations and, if necessary, the proceeds of debt and/or equity offerings in the domestic and international capital markets and bank debt. We cannot assu</w:t>
      </w:r>
      <w:r>
        <w:rPr>
          <w:rFonts w:ascii="Arial" w:hAnsi="Arial" w:cs="Arial"/>
        </w:rPr>
        <w:t xml:space="preserve">re you, however, that we will be able to generate sufficient cash flows from operations or obtain sufficient funds from external sources to fund our capital expenditure requirements. </w:t>
      </w:r>
    </w:p>
    <w:p w:rsidR="00000000" w:rsidRDefault="003E5AFF">
      <w:pPr>
        <w:pStyle w:val="NormalWeb"/>
        <w:spacing w:before="120" w:beforeAutospacing="0" w:after="0" w:afterAutospacing="0"/>
      </w:pPr>
      <w:r>
        <w:rPr>
          <w:rFonts w:ascii="Arial" w:hAnsi="Arial" w:cs="Arial"/>
        </w:rPr>
        <w:t>Our future ability to access financial markets in sufficient amounts and</w:t>
      </w:r>
      <w:r>
        <w:rPr>
          <w:rFonts w:ascii="Arial" w:hAnsi="Arial" w:cs="Arial"/>
        </w:rPr>
        <w:t xml:space="preserve"> at acceptable costs and terms to finance our operations, fund our proposed capital expenditures and pay dividends will depend to a large degree on prevailing capital and financial market conditions over which we have no control, and accordingly we cannot </w:t>
      </w:r>
      <w:r>
        <w:rPr>
          <w:rFonts w:ascii="Arial" w:hAnsi="Arial" w:cs="Arial"/>
        </w:rPr>
        <w:t>assure you that we will be able to do so. The current Eurozone crisis and general market volatility has had a negative impact on the liquidity of financial markets in recent months, as was the case in the 2008-2009 financial crisis. Our failure to generate</w:t>
      </w:r>
      <w:r>
        <w:rPr>
          <w:rFonts w:ascii="Arial" w:hAnsi="Arial" w:cs="Arial"/>
        </w:rPr>
        <w:t xml:space="preserve"> sufficient cash flows from operations or to be able to obtain third-party financing could cause us to delay or abandon some or all of our planned expansion, including capital expenditures, which, in turn,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Our operating income is sensitive to conditions that affect the cost of the products we sell in our stores. </w:t>
      </w:r>
    </w:p>
    <w:p w:rsidR="00000000" w:rsidRDefault="003E5AFF">
      <w:pPr>
        <w:pStyle w:val="NormalWeb"/>
        <w:spacing w:before="120" w:beforeAutospacing="0" w:after="0" w:afterAutospacing="0"/>
      </w:pPr>
      <w:r>
        <w:rPr>
          <w:rFonts w:ascii="Arial" w:hAnsi="Arial" w:cs="Arial"/>
        </w:rPr>
        <w:t xml:space="preserve">Our business is characterized by relatively high inventory turnover with relatively low profit margins. We make a significant portion of our sales </w:t>
      </w:r>
      <w:r>
        <w:rPr>
          <w:rFonts w:ascii="Arial" w:hAnsi="Arial" w:cs="Arial"/>
        </w:rPr>
        <w:t xml:space="preserve">at prices that are based on the cost of products we sell plus a percentage markup. As a result, our profit levels may be materially affected during periods of decreasing prices. In addition, our business could be materially and adversely affected by other </w:t>
      </w:r>
      <w:r>
        <w:rPr>
          <w:rFonts w:ascii="Arial" w:hAnsi="Arial" w:cs="Arial"/>
        </w:rPr>
        <w:t>factors, including inventory control, competitive price pressures, severe weather conditions and unexpected increases in fuel or other transportation related costs which increase the cost of the products we sell in our stores. If we are unable to pass alon</w:t>
      </w:r>
      <w:r>
        <w:rPr>
          <w:rFonts w:ascii="Arial" w:hAnsi="Arial" w:cs="Arial"/>
        </w:rPr>
        <w:t xml:space="preserve">g these cost increases to our customers, our profit margin will decrease resulting in a material adverse effect on 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- 30 - </w:t>
      </w:r>
    </w:p>
    <w:p w:rsidR="00000000" w:rsidRDefault="003E5AFF">
      <w:pPr>
        <w:rPr>
          <w:rFonts w:eastAsia="Times New Roman" w:cs="Times New Roman"/>
        </w:rPr>
      </w:pPr>
      <w:r>
        <w:rPr>
          <w:rFonts w:eastAsia="Times New Roman" w:cs="Times New Roman"/>
        </w:rPr>
        <w:pict>
          <v:rect id="_x0000_i1064" style="width:441.9pt;height:3pt" o:hralign="center" o:hrstd="t" o:hrnoshade="t" o:hr="t" fillcolor="#999" stroked="f"/>
        </w:pict>
      </w:r>
    </w:p>
    <w:p w:rsidR="00000000" w:rsidRDefault="003E5AFF">
      <w:pPr>
        <w:pStyle w:val="Heading5"/>
        <w:rPr>
          <w:rFonts w:eastAsia="Times New Roman" w:cs="Times New Roman"/>
        </w:rPr>
      </w:pPr>
      <w:hyperlink r:id="rId8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Our retail results are highly seasonal and therefore any circumstan</w:t>
      </w:r>
      <w:r>
        <w:rPr>
          <w:rFonts w:ascii="Arial" w:hAnsi="Arial" w:cs="Arial"/>
          <w:b/>
          <w:bCs/>
          <w:i/>
          <w:iCs/>
        </w:rPr>
        <w:t xml:space="preserve">ce that negatively impacts our retail business during our seasons of high demand may materially and adversely affect us. </w:t>
      </w:r>
    </w:p>
    <w:p w:rsidR="00000000" w:rsidRDefault="003E5AFF">
      <w:pPr>
        <w:pStyle w:val="NormalWeb"/>
        <w:spacing w:before="120" w:beforeAutospacing="0" w:after="0" w:afterAutospacing="0"/>
      </w:pPr>
      <w:r>
        <w:rPr>
          <w:rFonts w:ascii="Arial" w:hAnsi="Arial" w:cs="Arial"/>
        </w:rPr>
        <w:t xml:space="preserve">We have historically experienced seasonality in our retail </w:t>
      </w:r>
      <w:r>
        <w:rPr>
          <w:rFonts w:ascii="Arial" w:hAnsi="Arial" w:cs="Arial"/>
        </w:rPr>
        <w:t xml:space="preserve">sales in Chile, Argentina, Brazil, Peru and Colombia, principally due to stronger sales during the Christmas and New Year holiday season and during the beginning of each school year in March, and reduced sales during the months of January and February due </w:t>
      </w:r>
      <w:r>
        <w:rPr>
          <w:rFonts w:ascii="Arial" w:hAnsi="Arial" w:cs="Arial"/>
        </w:rPr>
        <w:t>to the summer holidays. For example, in 2011 and 2010, 29.3% and 29.8% of our consolidated revenues were generated during the fourth quarter, respectively. Any economic slowdown, interruption to our business or to the business of our suppliers, or the occu</w:t>
      </w:r>
      <w:r>
        <w:rPr>
          <w:rFonts w:ascii="Arial" w:hAnsi="Arial" w:cs="Arial"/>
        </w:rPr>
        <w:t xml:space="preserve">rrence of any other circumstance that may impact our business during the first or last quarter of any fiscal year may therefore have a material adverse effect on us. </w:t>
      </w:r>
    </w:p>
    <w:p w:rsidR="00000000" w:rsidRDefault="003E5AFF">
      <w:pPr>
        <w:pStyle w:val="NormalWeb"/>
        <w:spacing w:before="120" w:beforeAutospacing="0" w:after="0" w:afterAutospacing="0"/>
      </w:pPr>
      <w:r>
        <w:rPr>
          <w:rFonts w:ascii="Arial" w:hAnsi="Arial" w:cs="Arial"/>
        </w:rPr>
        <w:t>In addition, in preparation for our seasons of high demand, we must increase inventory to</w:t>
      </w:r>
      <w:r>
        <w:rPr>
          <w:rFonts w:ascii="Arial" w:hAnsi="Arial" w:cs="Arial"/>
        </w:rPr>
        <w:t xml:space="preserve"> levels substantially higher than those maintained during the rest of the year, and hire temporary staff for our stores. Any unforeseen reduction in demand, mistake in our demand forecasts or product selection, or delay by our suppliers in meeting our dema</w:t>
      </w:r>
      <w:r>
        <w:rPr>
          <w:rFonts w:ascii="Arial" w:hAnsi="Arial" w:cs="Arial"/>
        </w:rPr>
        <w:t xml:space="preserve">nd during these seasons could force us to sell inventory at significantly lower prices, which would also materially and adversely affect us. </w:t>
      </w:r>
    </w:p>
    <w:p w:rsidR="00000000" w:rsidRDefault="003E5AFF">
      <w:pPr>
        <w:pStyle w:val="NormalWeb"/>
        <w:spacing w:before="120" w:beforeAutospacing="0" w:after="0" w:afterAutospacing="0"/>
      </w:pPr>
      <w:r>
        <w:rPr>
          <w:rFonts w:ascii="Arial" w:hAnsi="Arial" w:cs="Arial"/>
          <w:b/>
          <w:bCs/>
          <w:i/>
          <w:iCs/>
        </w:rPr>
        <w:t>The clothing retail industry is negatively affected by decreases in the purchasing power of middle- and low-income</w:t>
      </w:r>
      <w:r>
        <w:rPr>
          <w:rFonts w:ascii="Arial" w:hAnsi="Arial" w:cs="Arial"/>
          <w:b/>
          <w:bCs/>
          <w:i/>
          <w:iCs/>
        </w:rPr>
        <w:t xml:space="preserve"> consumers resulting from unfavorable economic cycles. </w:t>
      </w:r>
    </w:p>
    <w:p w:rsidR="00000000" w:rsidRDefault="003E5AFF">
      <w:pPr>
        <w:pStyle w:val="NormalWeb"/>
        <w:spacing w:before="120" w:beforeAutospacing="0" w:after="0" w:afterAutospacing="0"/>
      </w:pPr>
      <w:r>
        <w:rPr>
          <w:rFonts w:ascii="Arial" w:hAnsi="Arial" w:cs="Arial"/>
        </w:rPr>
        <w:t>The success of our department stores operations depends largely on factors relating to the stability or increase of consumer spending, especially by members of middle- and low-income socioeconomic gro</w:t>
      </w:r>
      <w:r>
        <w:rPr>
          <w:rFonts w:ascii="Arial" w:hAnsi="Arial" w:cs="Arial"/>
        </w:rPr>
        <w:t>ups. Historically, the purchasing power of such groups has been significantly correlated with factors that affect income, such as interest rates, inflation, availability of consumer credit, taxation, employment levels, consumer confidence and salary levels</w:t>
      </w:r>
      <w:r>
        <w:rPr>
          <w:rFonts w:ascii="Arial" w:hAnsi="Arial" w:cs="Arial"/>
        </w:rPr>
        <w:t>. Therefore, in times of economic downturns, the purchasing power of such group decreases as their income decreases. In addition, our middle- and low-income customers are likely to consider clothing purchases superfluous during periods of reduced income wh</w:t>
      </w:r>
      <w:r>
        <w:rPr>
          <w:rFonts w:ascii="Arial" w:hAnsi="Arial" w:cs="Arial"/>
        </w:rPr>
        <w:t>ich would most likely lead to a decrease in demand for our clothing products from this group. Such a decrease in the demand of our middle- and low-income customers coupled with a general decrease in their purchasing power could materially and adversely aff</w:t>
      </w:r>
      <w:r>
        <w:rPr>
          <w:rFonts w:ascii="Arial" w:hAnsi="Arial" w:cs="Arial"/>
        </w:rPr>
        <w:t xml:space="preserve">ect us. </w:t>
      </w:r>
    </w:p>
    <w:p w:rsidR="00000000" w:rsidRDefault="003E5AFF">
      <w:pPr>
        <w:pStyle w:val="NormalWeb"/>
        <w:spacing w:before="120" w:beforeAutospacing="0" w:after="0" w:afterAutospacing="0"/>
      </w:pPr>
      <w:r>
        <w:rPr>
          <w:rFonts w:ascii="Arial" w:hAnsi="Arial" w:cs="Arial"/>
          <w:b/>
          <w:bCs/>
          <w:i/>
          <w:iCs/>
        </w:rPr>
        <w:t xml:space="preserve">Changes in suppliers_ allowances and promotional incentives could impact profitability and have a material adverse effect on us. </w:t>
      </w:r>
    </w:p>
    <w:p w:rsidR="00000000" w:rsidRDefault="003E5AFF">
      <w:pPr>
        <w:pStyle w:val="NormalWeb"/>
        <w:spacing w:before="120" w:beforeAutospacing="0" w:after="0" w:afterAutospacing="0"/>
      </w:pPr>
      <w:r>
        <w:rPr>
          <w:rFonts w:ascii="Arial" w:hAnsi="Arial" w:cs="Arial"/>
        </w:rPr>
        <w:t>We derive a significant portion of our revenues from ordinary activities from allowances and promotional incentives g</w:t>
      </w:r>
      <w:r>
        <w:rPr>
          <w:rFonts w:ascii="Arial" w:hAnsi="Arial" w:cs="Arial"/>
        </w:rPr>
        <w:t>ranted by our suppliers. For example, our revenues from ordinary activities include fees from suppliers for the sale of their products in our stores, supplier rebates and bonuses, supplier promotional allowances and fees, and fees from publicity activities</w:t>
      </w:r>
      <w:r>
        <w:rPr>
          <w:rFonts w:ascii="Arial" w:hAnsi="Arial" w:cs="Arial"/>
        </w:rPr>
        <w:t xml:space="preserve"> carried out for third parties using our proprietary customer information. We cannot assure you that we will be able to obtain a similar level of such fees, rebates, bonuses or allowances in the future. Should any of our key suppliers reduce or otherwise e</w:t>
      </w:r>
      <w:r>
        <w:rPr>
          <w:rFonts w:ascii="Arial" w:hAnsi="Arial" w:cs="Arial"/>
        </w:rPr>
        <w:t xml:space="preserve">liminate these arrangements, our profit margin for the affected products could be impacted, which could in turn have a material adverse effect on us. </w:t>
      </w:r>
    </w:p>
    <w:p w:rsidR="00000000" w:rsidRDefault="003E5AFF">
      <w:pPr>
        <w:pStyle w:val="NormalWeb"/>
        <w:spacing w:before="120" w:beforeAutospacing="0" w:after="0" w:afterAutospacing="0"/>
      </w:pPr>
      <w:r>
        <w:rPr>
          <w:rFonts w:ascii="Arial" w:hAnsi="Arial" w:cs="Arial"/>
          <w:b/>
          <w:bCs/>
          <w:i/>
          <w:iCs/>
        </w:rPr>
        <w:t xml:space="preserve">Our current strategy may not have the expected results on our profitability. </w:t>
      </w:r>
    </w:p>
    <w:p w:rsidR="00000000" w:rsidRDefault="003E5AFF">
      <w:pPr>
        <w:pStyle w:val="NormalWeb"/>
        <w:spacing w:before="120" w:beforeAutospacing="0" w:after="0" w:afterAutospacing="0"/>
      </w:pPr>
      <w:r>
        <w:rPr>
          <w:rFonts w:ascii="Arial" w:hAnsi="Arial" w:cs="Arial"/>
        </w:rPr>
        <w:t>Our strategy aims to provid</w:t>
      </w:r>
      <w:r>
        <w:rPr>
          <w:rFonts w:ascii="Arial" w:hAnsi="Arial" w:cs="Arial"/>
        </w:rPr>
        <w:t xml:space="preserve">e our customers with a superior shopping experience, delivering a greater variety of quality products and services than our competitors. This strategy is based on savings achieved through operational efficiencies that are transferable to the customer. We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- 31 - </w:t>
      </w:r>
    </w:p>
    <w:p w:rsidR="00000000" w:rsidRDefault="003E5AFF">
      <w:pPr>
        <w:rPr>
          <w:rFonts w:eastAsia="Times New Roman" w:cs="Times New Roman"/>
        </w:rPr>
      </w:pPr>
      <w:r>
        <w:rPr>
          <w:rFonts w:eastAsia="Times New Roman" w:cs="Times New Roman"/>
        </w:rPr>
        <w:pict>
          <v:rect id="_x0000_i1065" style="width:441.9pt;height:3pt" o:hralign="center" o:hrstd="t" o:hrnoshade="t" o:hr="t" fillcolor="#999" stroked="f"/>
        </w:pict>
      </w:r>
    </w:p>
    <w:p w:rsidR="00000000" w:rsidRDefault="003E5AFF">
      <w:pPr>
        <w:pStyle w:val="Heading5"/>
        <w:rPr>
          <w:rFonts w:eastAsia="Times New Roman" w:cs="Times New Roman"/>
        </w:rPr>
      </w:pPr>
      <w:hyperlink r:id="rId8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couple this strategy with a focus on expanding our position both in Chile and other markets in Latin America that we believe offer attractive prospects for growth. The long-term success of our strategy is subject to significant risks, including failure to </w:t>
      </w:r>
      <w:r>
        <w:rPr>
          <w:rFonts w:ascii="Arial" w:hAnsi="Arial" w:cs="Arial"/>
        </w:rPr>
        <w:t>generate the expected number of additional sales volume and to reduce selling and administrative expenses; price reductions by competitors; difficulties in obtaining additional vendor allowances from suppliers in the expected amounts and necessary timefram</w:t>
      </w:r>
      <w:r>
        <w:rPr>
          <w:rFonts w:ascii="Arial" w:hAnsi="Arial" w:cs="Arial"/>
        </w:rPr>
        <w:t xml:space="preserve">e; difficulties in expanding operations due to adverse economic scenarios; difficulties in finding employees and delays in implementing our strategy. Any one of these factors could have a material adverse effect on us. </w:t>
      </w:r>
    </w:p>
    <w:p w:rsidR="00000000" w:rsidRDefault="003E5AFF">
      <w:pPr>
        <w:pStyle w:val="NormalWeb"/>
        <w:spacing w:before="120" w:beforeAutospacing="0" w:after="0" w:afterAutospacing="0"/>
      </w:pPr>
      <w:r>
        <w:rPr>
          <w:rFonts w:ascii="Arial" w:hAnsi="Arial" w:cs="Arial"/>
          <w:b/>
          <w:bCs/>
          <w:i/>
          <w:iCs/>
        </w:rPr>
        <w:t>We are subject to risks affecting sh</w:t>
      </w:r>
      <w:r>
        <w:rPr>
          <w:rFonts w:ascii="Arial" w:hAnsi="Arial" w:cs="Arial"/>
          <w:b/>
          <w:bCs/>
          <w:i/>
          <w:iCs/>
        </w:rPr>
        <w:t xml:space="preserve">opping centers which may materially and adversely affect our financial performance. </w:t>
      </w:r>
    </w:p>
    <w:p w:rsidR="00000000" w:rsidRDefault="003E5AFF">
      <w:pPr>
        <w:pStyle w:val="NormalWeb"/>
        <w:spacing w:before="120" w:beforeAutospacing="0" w:after="0" w:afterAutospacing="0"/>
      </w:pPr>
      <w:r>
        <w:rPr>
          <w:rFonts w:ascii="Arial" w:hAnsi="Arial" w:cs="Arial"/>
        </w:rPr>
        <w:t xml:space="preserve">Our operation of our shopping centers (which lease spaces to third parties) is subject to various factors that affect their development, administration and profitability. </w:t>
      </w:r>
      <w:r>
        <w:rPr>
          <w:rFonts w:ascii="Arial" w:hAnsi="Arial" w:cs="Arial"/>
        </w:rPr>
        <w:t xml:space="preserve">These factors include the accessibility and the attractiveness of the area where the shopping center is located and of the shopping center itself; the flow of people and the level of sales of each shopping center rental unit; oversupply of retail space or </w:t>
      </w:r>
      <w:r>
        <w:rPr>
          <w:rFonts w:ascii="Arial" w:hAnsi="Arial" w:cs="Arial"/>
        </w:rPr>
        <w:t>a reduction in demand for retail space which could result in lower rent prices and lower revenues; increases in competition from other shopping centers which drive down our prices and profits; our inability to collect rents due to bankruptcy, insolvency of</w:t>
      </w:r>
      <w:r>
        <w:rPr>
          <w:rFonts w:ascii="Arial" w:hAnsi="Arial" w:cs="Arial"/>
        </w:rPr>
        <w:t xml:space="preserve"> tenants or otherwise; the ability of our tenants to provide adequate maintenance and insurance; and fluctuations in occupancy levels in our shopping centers. </w:t>
      </w:r>
    </w:p>
    <w:p w:rsidR="00000000" w:rsidRDefault="003E5AFF">
      <w:pPr>
        <w:pStyle w:val="NormalWeb"/>
        <w:spacing w:before="120" w:beforeAutospacing="0" w:after="0" w:afterAutospacing="0"/>
      </w:pPr>
      <w:r>
        <w:rPr>
          <w:rFonts w:ascii="Arial" w:hAnsi="Arial" w:cs="Arial"/>
        </w:rPr>
        <w:t xml:space="preserve">Many of our hypermarket, supermarket, department stores and home improvement stores are located </w:t>
      </w:r>
      <w:r>
        <w:rPr>
          <w:rFonts w:ascii="Arial" w:hAnsi="Arial" w:cs="Arial"/>
        </w:rPr>
        <w:t>in shopping centers, and as a result a substantial portion of our revenues is sensitive to factors affecting these and other shopping centers. Also, an economic downturn in the countries or regions in which our shopping centers are located could lead to th</w:t>
      </w:r>
      <w:r>
        <w:rPr>
          <w:rFonts w:ascii="Arial" w:hAnsi="Arial" w:cs="Arial"/>
        </w:rPr>
        <w:t xml:space="preserve">e bankruptcy of our tenants and a reduction in our shopping center sales due to a decrease in disposable income, which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Our development activities depend on finding attractive real estate locations at reasonable </w:t>
      </w:r>
      <w:r>
        <w:rPr>
          <w:rFonts w:ascii="Arial" w:hAnsi="Arial" w:cs="Arial"/>
          <w:b/>
          <w:bCs/>
          <w:i/>
          <w:iCs/>
        </w:rPr>
        <w:t xml:space="preserve">prices. </w:t>
      </w:r>
    </w:p>
    <w:p w:rsidR="00000000" w:rsidRDefault="003E5AFF">
      <w:pPr>
        <w:pStyle w:val="NormalWeb"/>
        <w:spacing w:before="120" w:beforeAutospacing="0" w:after="0" w:afterAutospacing="0"/>
      </w:pPr>
      <w:r>
        <w:rPr>
          <w:rFonts w:ascii="Arial" w:hAnsi="Arial" w:cs="Arial"/>
        </w:rPr>
        <w:t xml:space="preserve">An important part of our growth strategy rests on our ability to develop and open new stores. We face intense competition from both other retail operators and also real estate developers for new sites for our stores. Accordingly, we may be unable </w:t>
      </w:r>
      <w:r>
        <w:rPr>
          <w:rFonts w:ascii="Arial" w:hAnsi="Arial" w:cs="Arial"/>
        </w:rPr>
        <w:t xml:space="preserve">to find attractive real estate locations at reasonable prices to sustain our growth, which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We are subject to risks associated with development and construction activities. </w:t>
      </w:r>
    </w:p>
    <w:p w:rsidR="00000000" w:rsidRDefault="003E5AFF">
      <w:pPr>
        <w:pStyle w:val="NormalWeb"/>
        <w:spacing w:before="120" w:beforeAutospacing="0" w:after="0" w:afterAutospacing="0"/>
      </w:pPr>
      <w:r>
        <w:rPr>
          <w:rFonts w:ascii="Arial" w:hAnsi="Arial" w:cs="Arial"/>
        </w:rPr>
        <w:t>The development, renovation and construction of our hypermarkets, supermarkets, department stores, home improvement stores and shopping centers involve certain risks such as failure to correctly anticipate construction costs, lower than anticipated occupan</w:t>
      </w:r>
      <w:r>
        <w:rPr>
          <w:rFonts w:ascii="Arial" w:hAnsi="Arial" w:cs="Arial"/>
        </w:rPr>
        <w:t>cy rates and rents at newly completed projects, failure to obtain financing on favorable terms, delays in construction and lease-up, and failure to obtain necessary zoning, land use, building, occupancy and other required governmental permits and authoriza</w:t>
      </w:r>
      <w:r>
        <w:rPr>
          <w:rFonts w:ascii="Arial" w:hAnsi="Arial" w:cs="Arial"/>
        </w:rPr>
        <w:t xml:space="preserve">tions. </w:t>
      </w:r>
    </w:p>
    <w:p w:rsidR="00000000" w:rsidRDefault="003E5AFF">
      <w:pPr>
        <w:pStyle w:val="NormalWeb"/>
        <w:spacing w:before="120" w:beforeAutospacing="0" w:after="0" w:afterAutospacing="0"/>
      </w:pPr>
      <w:r>
        <w:rPr>
          <w:rFonts w:ascii="Arial" w:hAnsi="Arial" w:cs="Arial"/>
        </w:rPr>
        <w:t>We are currently in the process of constructing several projects, including the Costanera Center in Santiago, Chile, which will be the largest shopping center in Chile and will include an office tower that we believe will be the tallest building in</w:t>
      </w:r>
      <w:r>
        <w:rPr>
          <w:rFonts w:ascii="Arial" w:hAnsi="Arial" w:cs="Arial"/>
        </w:rPr>
        <w:t xml:space="preserve"> South America. We face certain risks associated with the large-scale nature of the project, such as occupancy rates and rents not being sufficient to make the project profitable and the fact that we may be unable to obtain or may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- 32 - </w:t>
      </w:r>
    </w:p>
    <w:p w:rsidR="00000000" w:rsidRDefault="003E5AFF">
      <w:pPr>
        <w:rPr>
          <w:rFonts w:eastAsia="Times New Roman" w:cs="Times New Roman"/>
        </w:rPr>
      </w:pPr>
      <w:r>
        <w:rPr>
          <w:rFonts w:eastAsia="Times New Roman" w:cs="Times New Roman"/>
        </w:rPr>
        <w:pict>
          <v:rect id="_x0000_i1066" style="width:441.9pt;height:3pt" o:hralign="center" o:hrstd="t" o:hrnoshade="t" o:hr="t" fillcolor="#999" stroked="f"/>
        </w:pict>
      </w:r>
    </w:p>
    <w:p w:rsidR="00000000" w:rsidRDefault="003E5AFF">
      <w:pPr>
        <w:pStyle w:val="Heading5"/>
        <w:rPr>
          <w:rFonts w:eastAsia="Times New Roman" w:cs="Times New Roman"/>
        </w:rPr>
      </w:pPr>
      <w:hyperlink r:id="rId83"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rPr>
        <w:t>face delays in obtaining all necessary approvals for a necessary transit mitigation program. Any such delays, or other substantial unanticipated delays or expenses related to the Costanera Center or other future construction or renovation proj</w:t>
      </w:r>
      <w:r>
        <w:rPr>
          <w:rFonts w:ascii="Arial" w:hAnsi="Arial" w:cs="Arial"/>
        </w:rPr>
        <w:t>ects may reduce our net income for the relevant periods and could have a material adverse effect on us. For example, the opening of the shopping center at the Costanera Center was originally scheduled for April 2012 and is now schedule for June 2012. The o</w:t>
      </w:r>
      <w:r>
        <w:rPr>
          <w:rFonts w:ascii="Arial" w:hAnsi="Arial" w:cs="Arial"/>
        </w:rPr>
        <w:t xml:space="preserve">ffice tower at the Costanera Center remains scheduled to open in 2013. </w:t>
      </w:r>
    </w:p>
    <w:p w:rsidR="00000000" w:rsidRDefault="003E5AFF">
      <w:pPr>
        <w:pStyle w:val="NormalWeb"/>
        <w:spacing w:before="120" w:beforeAutospacing="0" w:after="0" w:afterAutospacing="0"/>
      </w:pPr>
      <w:r>
        <w:rPr>
          <w:rFonts w:ascii="Arial" w:hAnsi="Arial" w:cs="Arial"/>
          <w:b/>
          <w:bCs/>
          <w:i/>
          <w:iCs/>
        </w:rPr>
        <w:t xml:space="preserve">Our development activities depend on our ability to obtain and maintain zoning, environmental, land-use and other governmental approvals which we may not be able to get. </w:t>
      </w:r>
    </w:p>
    <w:p w:rsidR="00000000" w:rsidRDefault="003E5AFF">
      <w:pPr>
        <w:pStyle w:val="NormalWeb"/>
        <w:spacing w:before="120" w:beforeAutospacing="0" w:after="0" w:afterAutospacing="0"/>
      </w:pPr>
      <w:r>
        <w:rPr>
          <w:rFonts w:ascii="Arial" w:hAnsi="Arial" w:cs="Arial"/>
        </w:rPr>
        <w:t>Our activitie</w:t>
      </w:r>
      <w:r>
        <w:rPr>
          <w:rFonts w:ascii="Arial" w:hAnsi="Arial" w:cs="Arial"/>
        </w:rPr>
        <w:t>s are subject to national, federal, state and municipal laws, and to regulations, authorizations and licenses required with respect to construction, zoning, use of the soil, environmental protection and historical heritage, consumer protection and other re</w:t>
      </w:r>
      <w:r>
        <w:rPr>
          <w:rFonts w:ascii="Arial" w:hAnsi="Arial" w:cs="Arial"/>
        </w:rPr>
        <w:t xml:space="preserve">quirements in Chile, Argentina, Brazil, Peru and Colombia, all of which affect our ability to acquire land, develop and build projects and negotiate with customers. In the case of non-compliance with such laws, regulations, licenses and authorizations, we </w:t>
      </w:r>
      <w:r>
        <w:rPr>
          <w:rFonts w:ascii="Arial" w:hAnsi="Arial" w:cs="Arial"/>
        </w:rPr>
        <w:t xml:space="preserve">may face fines, project shutdowns, cancellation of licenses and revocation of authorizations. </w:t>
      </w:r>
    </w:p>
    <w:p w:rsidR="00000000" w:rsidRDefault="003E5AFF">
      <w:pPr>
        <w:pStyle w:val="NormalWeb"/>
        <w:spacing w:before="120" w:beforeAutospacing="0" w:after="0" w:afterAutospacing="0"/>
      </w:pPr>
      <w:r>
        <w:rPr>
          <w:rFonts w:ascii="Arial" w:hAnsi="Arial" w:cs="Arial"/>
        </w:rPr>
        <w:t>In addition, the regulation of matters relating to the protection of the environment is not as well developed in Argentina, Brazil, Chile, Peru and Colombia as i</w:t>
      </w:r>
      <w:r>
        <w:rPr>
          <w:rFonts w:ascii="Arial" w:hAnsi="Arial" w:cs="Arial"/>
        </w:rPr>
        <w:t>n the United States and certain other countries. Accordingly, we anticipate that additional laws and regulations should be enacted over time in these countries with respect to environmental matters. If public authorities issue new and stricter standards, o</w:t>
      </w:r>
      <w:r>
        <w:rPr>
          <w:rFonts w:ascii="Arial" w:hAnsi="Arial" w:cs="Arial"/>
        </w:rPr>
        <w:t xml:space="preserve">r enforce or interpret existing laws and regulations in a more restrictive manner, we may be forced to make expenditures to comply with such new rules. </w:t>
      </w:r>
    </w:p>
    <w:p w:rsidR="00000000" w:rsidRDefault="003E5AFF">
      <w:pPr>
        <w:pStyle w:val="NormalWeb"/>
        <w:spacing w:before="120" w:beforeAutospacing="0" w:after="0" w:afterAutospacing="0"/>
      </w:pPr>
      <w:r>
        <w:rPr>
          <w:rFonts w:ascii="Arial" w:hAnsi="Arial" w:cs="Arial"/>
          <w:b/>
          <w:bCs/>
          <w:i/>
          <w:iCs/>
        </w:rPr>
        <w:t>Our credit card and banking operations expose us to increased credit and financial risks which may have</w:t>
      </w:r>
      <w:r>
        <w:rPr>
          <w:rFonts w:ascii="Arial" w:hAnsi="Arial" w:cs="Arial"/>
          <w:b/>
          <w:bCs/>
          <w:i/>
          <w:iCs/>
        </w:rPr>
        <w:t xml:space="preserve"> a material adverse effect on us. </w:t>
      </w:r>
    </w:p>
    <w:p w:rsidR="00000000" w:rsidRDefault="003E5AFF">
      <w:pPr>
        <w:pStyle w:val="NormalWeb"/>
        <w:spacing w:before="120" w:beforeAutospacing="0" w:after="0" w:afterAutospacing="0"/>
      </w:pPr>
      <w:r>
        <w:rPr>
          <w:rFonts w:ascii="Arial" w:hAnsi="Arial" w:cs="Arial"/>
        </w:rPr>
        <w:t xml:space="preserve">Although not a part of our core business, our credit card and consumer finance operations in Chile, Argentina and Brazil are a growing segment of our business. We currently bear all of the credit risk associated with our </w:t>
      </w:r>
      <w:r>
        <w:rPr>
          <w:rFonts w:ascii="Arial" w:hAnsi="Arial" w:cs="Arial"/>
        </w:rPr>
        <w:t>credit cards in Chile, Argentina and Peru. In Brazil, where we operate our credit card through a joint venture with Brazil_s Banco Bradesco, we bear 50% of the credit risk associated with our cards, including defaults in payment and losses with Banco Brade</w:t>
      </w:r>
      <w:r>
        <w:rPr>
          <w:rFonts w:ascii="Arial" w:hAnsi="Arial" w:cs="Arial"/>
        </w:rPr>
        <w:t xml:space="preserve">sco bearing the remaining risk. See _Business_Financial Services_Brazil_ for additional details related to our joint venture with Banco Bradesco. </w:t>
      </w:r>
    </w:p>
    <w:p w:rsidR="00000000" w:rsidRDefault="003E5AFF">
      <w:pPr>
        <w:pStyle w:val="NormalWeb"/>
        <w:spacing w:before="120" w:beforeAutospacing="0" w:after="0" w:afterAutospacing="0"/>
      </w:pPr>
      <w:r>
        <w:rPr>
          <w:rFonts w:ascii="Arial" w:hAnsi="Arial" w:cs="Arial"/>
        </w:rPr>
        <w:t>Our credit card and consumer finance business can be materially and adversely affected by delinquency on cred</w:t>
      </w:r>
      <w:r>
        <w:rPr>
          <w:rFonts w:ascii="Arial" w:hAnsi="Arial" w:cs="Arial"/>
        </w:rPr>
        <w:t>it card accounts, defaults in payments by credit card holders, extensive judicial processes enforcing the collection of payments, doubtful accounts or losses on receivables. Furthermore, the actual rates of delinquency, collection proceedings and losses on</w:t>
      </w:r>
      <w:r>
        <w:rPr>
          <w:rFonts w:ascii="Arial" w:hAnsi="Arial" w:cs="Arial"/>
        </w:rPr>
        <w:t xml:space="preserve"> receivables may vary and be affected by numerous factors, which among others include: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adverse changes in regional economies;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acceptance of applicants with poor credit records;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inability to predict future charge-offs;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credit card use;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political instability;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increase of unemployment; and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loss of value of actual salaries. </w:t>
            </w:r>
          </w:p>
        </w:tc>
      </w:tr>
    </w:tbl>
    <w:p w:rsidR="00000000" w:rsidRDefault="003E5AFF">
      <w:pPr>
        <w:pStyle w:val="NormalWeb"/>
        <w:spacing w:before="120" w:beforeAutospacing="0" w:after="0" w:afterAutospacing="0"/>
      </w:pPr>
      <w:r>
        <w:rPr>
          <w:rFonts w:ascii="Arial" w:hAnsi="Arial" w:cs="Arial"/>
        </w:rPr>
        <w:t xml:space="preserve">These and </w:t>
      </w:r>
      <w:r>
        <w:rPr>
          <w:rFonts w:ascii="Arial" w:hAnsi="Arial" w:cs="Arial"/>
        </w:rPr>
        <w:t xml:space="preserve">other factors may have a negative effect on present rates of delinquency, collection proceedings and losses, any one or more of which could have a material adverse effect on us. In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- 33 - </w:t>
      </w:r>
    </w:p>
    <w:p w:rsidR="00000000" w:rsidRDefault="003E5AFF">
      <w:pPr>
        <w:rPr>
          <w:rFonts w:eastAsia="Times New Roman" w:cs="Times New Roman"/>
        </w:rPr>
      </w:pPr>
      <w:r>
        <w:rPr>
          <w:rFonts w:eastAsia="Times New Roman" w:cs="Times New Roman"/>
        </w:rPr>
        <w:pict>
          <v:rect id="_x0000_i1067" style="width:441.9pt;height:3pt" o:hralign="center" o:hrstd="t" o:hrnoshade="t" o:hr="t" fillcolor="#999" stroked="f"/>
        </w:pict>
      </w:r>
    </w:p>
    <w:p w:rsidR="00000000" w:rsidRDefault="003E5AFF">
      <w:pPr>
        <w:pStyle w:val="Heading5"/>
        <w:rPr>
          <w:rFonts w:eastAsia="Times New Roman" w:cs="Times New Roman"/>
        </w:rPr>
      </w:pPr>
      <w:hyperlink r:id="rId8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particular, our credit card business has grown significantly in recent years and in connection with such growth, our past due credit card receivables have also grown. We canno</w:t>
      </w:r>
      <w:r>
        <w:rPr>
          <w:rFonts w:ascii="Arial" w:hAnsi="Arial" w:cs="Arial"/>
        </w:rPr>
        <w:t xml:space="preserve">t assure you that our present rates of delinquency will not increase, and if they do, that it would not have a material adverse effect on us. </w:t>
      </w:r>
    </w:p>
    <w:p w:rsidR="00000000" w:rsidRDefault="003E5AFF">
      <w:pPr>
        <w:pStyle w:val="NormalWeb"/>
        <w:spacing w:before="120" w:beforeAutospacing="0" w:after="0" w:afterAutospacing="0"/>
      </w:pPr>
      <w:r>
        <w:rPr>
          <w:rFonts w:ascii="Arial" w:hAnsi="Arial" w:cs="Arial"/>
        </w:rPr>
        <w:t>Further, to boost our retail volume sales, one of our business goals is to promote greater use of our credit card</w:t>
      </w:r>
      <w:r>
        <w:rPr>
          <w:rFonts w:ascii="Arial" w:hAnsi="Arial" w:cs="Arial"/>
        </w:rPr>
        <w:t>s and other financing activities in Chile, Argentina and Brazil and introduce our own credit card in Peru (under which we would assume all credit risk). As a result, our exposure to the credit risk of our cardholders and banking customers is likely to incr</w:t>
      </w:r>
      <w:r>
        <w:rPr>
          <w:rFonts w:ascii="Arial" w:hAnsi="Arial" w:cs="Arial"/>
        </w:rPr>
        <w:t>ease in the near future. We cannot assure you that any expansion of our credit card operations (including the assumption of account approval and credit risk by us) or our other lending operations, such as the cash advances and consumer loans we offer to ou</w:t>
      </w:r>
      <w:r>
        <w:rPr>
          <w:rFonts w:ascii="Arial" w:hAnsi="Arial" w:cs="Arial"/>
        </w:rPr>
        <w:t xml:space="preserve">r credit card customers, will not result in an impairment of the credit portfolio of our credit card and banking business in Chile, Argentina and Brazil. Any such impairment would have a material adverse effect on us. See _Business_Financial Services_ for </w:t>
      </w:r>
      <w:r>
        <w:rPr>
          <w:rFonts w:ascii="Arial" w:hAnsi="Arial" w:cs="Arial"/>
        </w:rPr>
        <w:t xml:space="preserve">additional details related to our credit card and consumer loan operations. </w:t>
      </w:r>
    </w:p>
    <w:p w:rsidR="00000000" w:rsidRDefault="003E5AFF">
      <w:pPr>
        <w:pStyle w:val="NormalWeb"/>
        <w:spacing w:before="120" w:beforeAutospacing="0" w:after="0" w:afterAutospacing="0"/>
      </w:pPr>
      <w:r>
        <w:rPr>
          <w:rFonts w:ascii="Arial" w:hAnsi="Arial" w:cs="Arial"/>
          <w:b/>
          <w:bCs/>
          <w:i/>
          <w:iCs/>
        </w:rPr>
        <w:t>Our credit card and banking activities depend on our ability to comply with current or future government regulations, as well as our ability to obtain and maintain governmental ap</w:t>
      </w:r>
      <w:r>
        <w:rPr>
          <w:rFonts w:ascii="Arial" w:hAnsi="Arial" w:cs="Arial"/>
          <w:b/>
          <w:bCs/>
          <w:i/>
          <w:iCs/>
        </w:rPr>
        <w:t xml:space="preserve">provals. </w:t>
      </w:r>
    </w:p>
    <w:p w:rsidR="00000000" w:rsidRDefault="003E5AFF">
      <w:pPr>
        <w:pStyle w:val="NormalWeb"/>
        <w:spacing w:before="120" w:beforeAutospacing="0" w:after="0" w:afterAutospacing="0"/>
      </w:pPr>
      <w:r>
        <w:rPr>
          <w:rFonts w:ascii="Arial" w:hAnsi="Arial" w:cs="Arial"/>
        </w:rPr>
        <w:t>Our credit card and banking operations are subject to substantial regulation. We must comply with national, state and municipal laws, and with regulations, authorizations and licenses required with respect to credit card and banking activities. W</w:t>
      </w:r>
      <w:r>
        <w:rPr>
          <w:rFonts w:ascii="Arial" w:hAnsi="Arial" w:cs="Arial"/>
        </w:rPr>
        <w:t>e invest financial and managerial resources to comply with these laws and related permit requirements. For example, in Peru we are currently applying for the operation license for Banco Cencosud from the Peruvian financial services regulator (SBS). However</w:t>
      </w:r>
      <w:r>
        <w:rPr>
          <w:rFonts w:ascii="Arial" w:hAnsi="Arial" w:cs="Arial"/>
        </w:rPr>
        <w:t xml:space="preserve">, we cannot assure that you will be granted this license, which may have a material adverse effect on us. </w:t>
      </w:r>
    </w:p>
    <w:p w:rsidR="00000000" w:rsidRDefault="003E5AFF">
      <w:pPr>
        <w:pStyle w:val="NormalWeb"/>
        <w:spacing w:before="120" w:beforeAutospacing="0" w:after="0" w:afterAutospacing="0"/>
      </w:pPr>
      <w:r>
        <w:rPr>
          <w:rFonts w:ascii="Arial" w:hAnsi="Arial" w:cs="Arial"/>
        </w:rPr>
        <w:t>Our failure to comply with credit card and banking laws and related permit requirements could subject us to investigations, enforcement actions, fine</w:t>
      </w:r>
      <w:r>
        <w:rPr>
          <w:rFonts w:ascii="Arial" w:hAnsi="Arial" w:cs="Arial"/>
        </w:rPr>
        <w:t>s or penalties. Moreover, if applicable laws and regulations, or the interpretation or enforcement thereof, become more stringent in the future, our capital or operating costs could increase beyond what we currently anticipate, and the process of obtaining</w:t>
      </w:r>
      <w:r>
        <w:rPr>
          <w:rFonts w:ascii="Arial" w:hAnsi="Arial" w:cs="Arial"/>
        </w:rPr>
        <w:t xml:space="preserve"> or renewing licenses for our activities could be hindered or even opposed by the competent authorities. We cannot assure you that regulators will not impose more restrictive limitations on the activities of our credit card or bank operations in the future</w:t>
      </w:r>
      <w:r>
        <w:rPr>
          <w:rFonts w:ascii="Arial" w:hAnsi="Arial" w:cs="Arial"/>
        </w:rPr>
        <w:t xml:space="preserve"> than those currently in effect. Any such change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Our food retail business sources fresh products </w:t>
      </w:r>
      <w:r>
        <w:rPr>
          <w:rFonts w:ascii="Arial" w:hAnsi="Arial" w:cs="Arial"/>
          <w:b/>
          <w:bCs/>
          <w:i/>
          <w:iCs/>
        </w:rPr>
        <w:t xml:space="preserve">from local producers. climate changes may affect their ability to produce, and consequently may affect our capacity to offer such products. </w:t>
      </w:r>
    </w:p>
    <w:p w:rsidR="00000000" w:rsidRDefault="003E5AFF">
      <w:pPr>
        <w:pStyle w:val="NormalWeb"/>
        <w:spacing w:before="120" w:beforeAutospacing="0" w:after="0" w:afterAutospacing="0"/>
      </w:pPr>
      <w:r>
        <w:rPr>
          <w:rFonts w:ascii="Arial" w:hAnsi="Arial" w:cs="Arial"/>
        </w:rPr>
        <w:t>There are indicators of a current climate change happening worldwide. Changes in temperatures and precipitation pat</w:t>
      </w:r>
      <w:r>
        <w:rPr>
          <w:rFonts w:ascii="Arial" w:hAnsi="Arial" w:cs="Arial"/>
        </w:rPr>
        <w:t>terns may negatively affect the capacity of certain regions to produce fresh products such as fresh fruits and vegetables and dairy products. As of January 2012, Chile is suffering one of its worst droughts in decades, which has resulted in substantial los</w:t>
      </w:r>
      <w:r>
        <w:rPr>
          <w:rFonts w:ascii="Arial" w:hAnsi="Arial" w:cs="Arial"/>
        </w:rPr>
        <w:t xml:space="preserve">s of crops and livestock. </w:t>
      </w:r>
    </w:p>
    <w:p w:rsidR="00000000" w:rsidRDefault="003E5AFF">
      <w:pPr>
        <w:pStyle w:val="NormalWeb"/>
        <w:spacing w:before="120" w:beforeAutospacing="0" w:after="0" w:afterAutospacing="0"/>
      </w:pPr>
      <w:r>
        <w:rPr>
          <w:rFonts w:ascii="Arial" w:hAnsi="Arial" w:cs="Arial"/>
        </w:rPr>
        <w:t xml:space="preserve">We have a significant focus on perishable products. Sales of perishable products accounted for approximately 30.0% of our total sales in 2011. As we source part of our fresh products from local producers, such changes in climate </w:t>
      </w:r>
      <w:r>
        <w:rPr>
          <w:rFonts w:ascii="Arial" w:hAnsi="Arial" w:cs="Arial"/>
        </w:rPr>
        <w:t xml:space="preserve">could impair or limit our ability to source such products, thus affecting our capacity to offer the full assortment of products that we normally carry. Any such disruption could have a material adverse effect on 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- 34 - </w:t>
      </w:r>
    </w:p>
    <w:p w:rsidR="00000000" w:rsidRDefault="003E5AFF">
      <w:pPr>
        <w:rPr>
          <w:rFonts w:eastAsia="Times New Roman" w:cs="Times New Roman"/>
        </w:rPr>
      </w:pPr>
      <w:r>
        <w:rPr>
          <w:rFonts w:eastAsia="Times New Roman" w:cs="Times New Roman"/>
        </w:rPr>
        <w:pict>
          <v:rect id="_x0000_i1068" style="width:441.9pt;height:3pt" o:hralign="center" o:hrstd="t" o:hrnoshade="t" o:hr="t" fillcolor="#999" stroked="f"/>
        </w:pict>
      </w:r>
    </w:p>
    <w:p w:rsidR="00000000" w:rsidRDefault="003E5AFF">
      <w:pPr>
        <w:pStyle w:val="Heading5"/>
        <w:rPr>
          <w:rFonts w:eastAsia="Times New Roman" w:cs="Times New Roman"/>
        </w:rPr>
      </w:pPr>
      <w:hyperlink r:id="rId8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We are dependent on key personnel. </w:t>
      </w:r>
    </w:p>
    <w:p w:rsidR="00000000" w:rsidRDefault="003E5AFF">
      <w:pPr>
        <w:pStyle w:val="NormalWeb"/>
        <w:spacing w:before="120" w:beforeAutospacing="0" w:after="0" w:afterAutospacing="0"/>
      </w:pPr>
      <w:r>
        <w:rPr>
          <w:rFonts w:ascii="Arial" w:hAnsi="Arial" w:cs="Arial"/>
        </w:rPr>
        <w:t xml:space="preserve">Our and our subsidiaries_ development, operation and growth have depended significantly upon the efforts and experience of our board of directors (particularly our chairman, Mr. Horst Paulmann Kemna) and our senior management. If for any reason, including </w:t>
      </w:r>
      <w:r>
        <w:rPr>
          <w:rFonts w:ascii="Arial" w:hAnsi="Arial" w:cs="Arial"/>
        </w:rPr>
        <w:t>retirement, the services of such persons, particularly Mr. Horst Paulmann Kemna, were to become unavailable and we fail to find and retain an adequate replacement for such persons on a timely basis, there could be a material adverse effect on our operation</w:t>
      </w:r>
      <w:r>
        <w:rPr>
          <w:rFonts w:ascii="Arial" w:hAnsi="Arial" w:cs="Arial"/>
        </w:rPr>
        <w:t xml:space="preserve">s. </w:t>
      </w:r>
    </w:p>
    <w:p w:rsidR="00000000" w:rsidRDefault="003E5AFF">
      <w:pPr>
        <w:pStyle w:val="NormalWeb"/>
        <w:spacing w:before="120" w:beforeAutospacing="0" w:after="0" w:afterAutospacing="0"/>
      </w:pPr>
      <w:r>
        <w:rPr>
          <w:rFonts w:ascii="Arial" w:hAnsi="Arial" w:cs="Arial"/>
          <w:b/>
          <w:bCs/>
          <w:i/>
          <w:iCs/>
        </w:rPr>
        <w:t xml:space="preserve">Certain of our debt instruments impose significant operating and financial restrictions and in the event of a default, all of our borrowings could become immediately due and payable. </w:t>
      </w:r>
    </w:p>
    <w:p w:rsidR="00000000" w:rsidRDefault="003E5AFF">
      <w:pPr>
        <w:pStyle w:val="NormalWeb"/>
        <w:spacing w:before="120" w:beforeAutospacing="0" w:after="0" w:afterAutospacing="0"/>
      </w:pPr>
      <w:r>
        <w:rPr>
          <w:rFonts w:ascii="Arial" w:hAnsi="Arial" w:cs="Arial"/>
        </w:rPr>
        <w:t>The terms of our financial indebtedness impose, and the terms of our</w:t>
      </w:r>
      <w:r>
        <w:rPr>
          <w:rFonts w:ascii="Arial" w:hAnsi="Arial" w:cs="Arial"/>
        </w:rPr>
        <w:t xml:space="preserve"> future financial indebtedness may impose, significant operating and other restrictions on us and many of our subsidiaries. The agreements governing our credit facilities and corporate bond issuances contain restrictive covenants and a requirement that we </w:t>
      </w:r>
      <w:r>
        <w:rPr>
          <w:rFonts w:ascii="Arial" w:hAnsi="Arial" w:cs="Arial"/>
        </w:rPr>
        <w:t xml:space="preserve">comply with a number of financial _maintenance_ covenants, including ratios of total debt to equity, total liabilities to net worth, net financial debt to equity, net financial debt to EBITDA, and EBITDA to financial expenses, as well as minimum levels of </w:t>
      </w:r>
      <w:r>
        <w:rPr>
          <w:rFonts w:ascii="Arial" w:hAnsi="Arial" w:cs="Arial"/>
        </w:rPr>
        <w:t>total assets, unencumbered assets and equity. Our ability to comply with these ratios may be affected by events beyond our control. These restrictions and financial ratios could limit our ability to plan for or react to market conditions, otherwise restric</w:t>
      </w:r>
      <w:r>
        <w:rPr>
          <w:rFonts w:ascii="Arial" w:hAnsi="Arial" w:cs="Arial"/>
        </w:rPr>
        <w:t xml:space="preserve">t our activities or business plans and could have a material adverse effect on us, including our ability to finance ongoing operations or strategic investments or to engage in other business activities. </w:t>
      </w:r>
    </w:p>
    <w:p w:rsidR="00000000" w:rsidRDefault="003E5AFF">
      <w:pPr>
        <w:pStyle w:val="NormalWeb"/>
        <w:spacing w:before="120" w:beforeAutospacing="0" w:after="0" w:afterAutospacing="0"/>
      </w:pPr>
      <w:r>
        <w:rPr>
          <w:rFonts w:ascii="Arial" w:hAnsi="Arial" w:cs="Arial"/>
        </w:rPr>
        <w:t xml:space="preserve">A significant portion of our financial indebtedness </w:t>
      </w:r>
      <w:r>
        <w:rPr>
          <w:rFonts w:ascii="Arial" w:hAnsi="Arial" w:cs="Arial"/>
        </w:rPr>
        <w:t>is also subject to cross default provisions. Our breach of any of these restrictive covenants or our inability to comply with the financial maintenance ratios would result in a default under other applicable debt instruments. If any such default occurs, th</w:t>
      </w:r>
      <w:r>
        <w:rPr>
          <w:rFonts w:ascii="Arial" w:hAnsi="Arial" w:cs="Arial"/>
        </w:rPr>
        <w:t>e lenders may elect to declare all outstanding borrowings, together with accrued interest and other fees, to be immediately due and payable. If we are unable to repay outstanding borrowings when due, the lenders will have the right to exercise their rights</w:t>
      </w:r>
      <w:r>
        <w:rPr>
          <w:rFonts w:ascii="Arial" w:hAnsi="Arial" w:cs="Arial"/>
        </w:rPr>
        <w:t xml:space="preserve"> and remedies against us, and we cannot assure you that our assets would be sufficient to repay in full our obligations. Our inability to repay our obligations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We are subject to risks associated with real estate investments. </w:t>
      </w:r>
    </w:p>
    <w:p w:rsidR="00000000" w:rsidRDefault="003E5AFF">
      <w:pPr>
        <w:pStyle w:val="NormalWeb"/>
        <w:spacing w:before="120" w:beforeAutospacing="0" w:after="0" w:afterAutospacing="0"/>
      </w:pPr>
      <w:r>
        <w:rPr>
          <w:rFonts w:ascii="Arial" w:hAnsi="Arial" w:cs="Arial"/>
        </w:rPr>
        <w:t xml:space="preserve">Our real estate investments are subject to risks common to commercial and residential properties in general, many of which are not within our control. For example, the yields available from </w:t>
      </w:r>
      <w:r>
        <w:rPr>
          <w:rFonts w:ascii="Arial" w:hAnsi="Arial" w:cs="Arial"/>
        </w:rPr>
        <w:t>equity investments in real estate depend on the level of sales or rental income generated and expenses incurred. In addition, our ability to generate sufficient income from our properties to service our debt and cover other expenses may be materially and a</w:t>
      </w:r>
      <w:r>
        <w:rPr>
          <w:rFonts w:ascii="Arial" w:hAnsi="Arial" w:cs="Arial"/>
        </w:rPr>
        <w:t xml:space="preserve">dversely affected by the following factors, among others, some of which we cannot control: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downturns in a national, regional and local economic climate;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interest rates and availability of financing;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civil disturbances, earthquakes and other natural disasters, or terrorist acts or acts of war which may result in uninsured or underinsured losses;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our ability or our tenants_ ability to provide for adequate maintenance and insurance, possibly decreasing the useful life of and revenue from property;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- 35 - </w:t>
      </w:r>
    </w:p>
    <w:p w:rsidR="00000000" w:rsidRDefault="003E5AFF">
      <w:pPr>
        <w:rPr>
          <w:rFonts w:eastAsia="Times New Roman" w:cs="Times New Roman"/>
        </w:rPr>
      </w:pPr>
      <w:r>
        <w:rPr>
          <w:rFonts w:eastAsia="Times New Roman" w:cs="Times New Roman"/>
        </w:rPr>
        <w:pict>
          <v:rect id="_x0000_i1069" style="width:441.9pt;height:3pt" o:hralign="center" o:hrstd="t" o:hrnoshade="t" o:hr="t" fillcolor="#999" stroked="f"/>
        </w:pict>
      </w:r>
    </w:p>
    <w:p w:rsidR="00000000" w:rsidRDefault="003E5AFF">
      <w:pPr>
        <w:pStyle w:val="Heading5"/>
        <w:rPr>
          <w:rFonts w:eastAsia="Times New Roman" w:cs="Times New Roman"/>
        </w:rPr>
      </w:pPr>
      <w:hyperlink r:id="rId86"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law reforms and governmental regulations (such as those governing usage, zoning and real property taxes);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oversupply of retail space or a reduction in demand for retail space, which could result in lower rent prices and lower revenues for us;</w:t>
            </w:r>
            <w:r>
              <w:rPr>
                <w:rFonts w:ascii="Arial" w:hAnsi="Arial" w:cs="Arial"/>
              </w:rPr>
              <w:t xml:space="preserv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increased competition from other real estate operators which might drive down our prices and profits;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increased operating costs due to inflation and other factors such as insurance expense, utilities, real estate taxes, state and local taxes and heightened security and cleaning costs;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inability to collect rents due to bankruptcy or insolv</w:t>
            </w:r>
            <w:r>
              <w:rPr>
                <w:rFonts w:ascii="Arial" w:hAnsi="Arial" w:cs="Arial"/>
              </w:rPr>
              <w:t xml:space="preserve">ency of tenants or otherwise;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need to periodically renovate, repair and release space, and the higher costs thereof;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inability to revise the commercial terms of our lease agreements to reflect high inflation or exchange rates fluctuations in markets where our leases are based on local nominal currency or in foreign currency;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bankruptcy of tenants and reduction in shopping center sales due to lower disposable income;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exercise by our tenants of their legal right to terminate their leases early;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inability to find new tenants as leases on our properties expire or terminate early. </w:t>
            </w:r>
          </w:p>
        </w:tc>
      </w:tr>
    </w:tbl>
    <w:p w:rsidR="00000000" w:rsidRDefault="003E5AFF">
      <w:pPr>
        <w:pStyle w:val="NormalWeb"/>
        <w:spacing w:before="120" w:beforeAutospacing="0" w:after="0" w:afterAutospacing="0"/>
      </w:pPr>
      <w:r>
        <w:rPr>
          <w:rFonts w:ascii="Arial" w:hAnsi="Arial" w:cs="Arial"/>
        </w:rPr>
        <w:t>The occurrence of any combination of the factors listed above could significantly decrease the income we receive from our real estate investments, which in turn could</w:t>
      </w:r>
      <w:r>
        <w:rPr>
          <w:rFonts w:ascii="Arial" w:hAnsi="Arial" w:cs="Arial"/>
        </w:rPr>
        <w:t xml:space="preserve"> have a material adverse effect on us. </w:t>
      </w:r>
    </w:p>
    <w:p w:rsidR="00000000" w:rsidRDefault="003E5AFF">
      <w:pPr>
        <w:pStyle w:val="NormalWeb"/>
        <w:spacing w:before="120" w:beforeAutospacing="0" w:after="0" w:afterAutospacing="0"/>
      </w:pPr>
      <w:r>
        <w:rPr>
          <w:rFonts w:ascii="Arial" w:hAnsi="Arial" w:cs="Arial"/>
          <w:b/>
          <w:bCs/>
          <w:i/>
          <w:iCs/>
        </w:rPr>
        <w:t xml:space="preserve">Eviction proceedings in Chile, Argentina and Peru are difficult and time consuming, and as a result we may not be able to evict defaulting tenants from our shopping centers. </w:t>
      </w:r>
    </w:p>
    <w:p w:rsidR="00000000" w:rsidRDefault="003E5AFF">
      <w:pPr>
        <w:pStyle w:val="NormalWeb"/>
        <w:spacing w:before="120" w:beforeAutospacing="0" w:after="0" w:afterAutospacing="0"/>
      </w:pPr>
      <w:r>
        <w:rPr>
          <w:rFonts w:ascii="Arial" w:hAnsi="Arial" w:cs="Arial"/>
        </w:rPr>
        <w:t xml:space="preserve">In our shopping center business, we hold </w:t>
      </w:r>
      <w:r>
        <w:rPr>
          <w:rFonts w:ascii="Arial" w:hAnsi="Arial" w:cs="Arial"/>
        </w:rPr>
        <w:t>several commercial leases with third party lessees. Although Chilean, Argentine and Peruvian laws allow a summary proceeding to collect unpaid rent and a special proceeding to evict tenants, eviction proceedings in these countries are difficult and time-co</w:t>
      </w:r>
      <w:r>
        <w:rPr>
          <w:rFonts w:ascii="Arial" w:hAnsi="Arial" w:cs="Arial"/>
        </w:rPr>
        <w:t>nsuming. Eviction proceedings generally take between six months and two years from the date of filing of the suit to the time of actual eviction, as the heavy workload of the courts and the numerous procedural steps required have generally delayed landlord</w:t>
      </w:r>
      <w:r>
        <w:rPr>
          <w:rFonts w:ascii="Arial" w:hAnsi="Arial" w:cs="Arial"/>
        </w:rPr>
        <w:t>s_ efforts, including ours, to evict tenants. Historically, delinquency regarding our office rental space has been low, and we have usually attempted to negotiate the termination of lease agreements with defaulting tenants after the first few months of non</w:t>
      </w:r>
      <w:r>
        <w:rPr>
          <w:rFonts w:ascii="Arial" w:hAnsi="Arial" w:cs="Arial"/>
        </w:rPr>
        <w:t>-payment in order to avoid legal proceedings. We cannot assure you, however, that delinquency rates in the future will not increase significantly, or that our negotiations with tenants will prove to be as successful as they have been in the past, which cou</w:t>
      </w:r>
      <w:r>
        <w:rPr>
          <w:rFonts w:ascii="Arial" w:hAnsi="Arial" w:cs="Arial"/>
        </w:rPr>
        <w:t xml:space="preserve">ld have a material adverse effect on us. </w:t>
      </w:r>
    </w:p>
    <w:p w:rsidR="00000000" w:rsidRDefault="003E5AFF">
      <w:pPr>
        <w:pStyle w:val="NormalWeb"/>
        <w:spacing w:before="120" w:beforeAutospacing="0" w:after="0" w:afterAutospacing="0"/>
      </w:pPr>
      <w:r>
        <w:rPr>
          <w:rFonts w:ascii="Arial" w:hAnsi="Arial" w:cs="Arial"/>
          <w:b/>
          <w:bCs/>
          <w:i/>
          <w:iCs/>
        </w:rPr>
        <w:t xml:space="preserve">Any disruption in the operations of our distribution centers may have a material adverse effect on us. </w:t>
      </w:r>
    </w:p>
    <w:p w:rsidR="00000000" w:rsidRDefault="003E5AFF">
      <w:pPr>
        <w:pStyle w:val="NormalWeb"/>
        <w:spacing w:before="120" w:beforeAutospacing="0" w:after="0" w:afterAutospacing="0"/>
      </w:pPr>
      <w:r>
        <w:rPr>
          <w:rFonts w:ascii="Arial" w:hAnsi="Arial" w:cs="Arial"/>
        </w:rPr>
        <w:t>A substantial part of the products we sell in our stores are distributed through our distribution centers. Sho</w:t>
      </w:r>
      <w:r>
        <w:rPr>
          <w:rFonts w:ascii="Arial" w:hAnsi="Arial" w:cs="Arial"/>
        </w:rPr>
        <w:t xml:space="preserve">uld any of these distribution centers experience an interruption in operations, we may not be able to effectively distribute the products we sell, which may have a material adverse effect on 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- 36 - </w:t>
      </w:r>
    </w:p>
    <w:p w:rsidR="00000000" w:rsidRDefault="003E5AFF">
      <w:pPr>
        <w:rPr>
          <w:rFonts w:eastAsia="Times New Roman" w:cs="Times New Roman"/>
        </w:rPr>
      </w:pPr>
      <w:r>
        <w:rPr>
          <w:rFonts w:eastAsia="Times New Roman" w:cs="Times New Roman"/>
        </w:rPr>
        <w:pict>
          <v:rect id="_x0000_i1070" style="width:441.9pt;height:3pt" o:hralign="center" o:hrstd="t" o:hrnoshade="t" o:hr="t" fillcolor="#999" stroked="f"/>
        </w:pict>
      </w:r>
    </w:p>
    <w:p w:rsidR="00000000" w:rsidRDefault="003E5AFF">
      <w:pPr>
        <w:pStyle w:val="Heading5"/>
        <w:rPr>
          <w:rFonts w:eastAsia="Times New Roman" w:cs="Times New Roman"/>
        </w:rPr>
      </w:pPr>
      <w:hyperlink r:id="rId8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Additionally, our growth st</w:t>
      </w:r>
      <w:r>
        <w:rPr>
          <w:rFonts w:ascii="Arial" w:hAnsi="Arial" w:cs="Arial"/>
        </w:rPr>
        <w:t>rategy contemplates the opening of new stores in the countries where we operate, which may require an increase in the capacity of our distribution centers, the reorganization of our existing distribution centers or the establishment of new distribution cen</w:t>
      </w:r>
      <w:r>
        <w:rPr>
          <w:rFonts w:ascii="Arial" w:hAnsi="Arial" w:cs="Arial"/>
        </w:rPr>
        <w:t>ters. Should we fail to locate adequate properties on which to build new distribution centers, or fail to effectively integrate new, or expand existing, distribution centers, we may not be able to deliver inventory to our stores in a timely manner, which m</w:t>
      </w:r>
      <w:r>
        <w:rPr>
          <w:rFonts w:ascii="Arial" w:hAnsi="Arial" w:cs="Arial"/>
        </w:rPr>
        <w:t xml:space="preserve">ay have a material adverse effect on us. </w:t>
      </w:r>
    </w:p>
    <w:p w:rsidR="00000000" w:rsidRDefault="003E5AFF">
      <w:pPr>
        <w:pStyle w:val="NormalWeb"/>
        <w:spacing w:before="120" w:beforeAutospacing="0" w:after="0" w:afterAutospacing="0"/>
      </w:pPr>
      <w:r>
        <w:rPr>
          <w:rFonts w:ascii="Arial" w:hAnsi="Arial" w:cs="Arial"/>
          <w:b/>
          <w:bCs/>
          <w:i/>
          <w:iCs/>
        </w:rPr>
        <w:t xml:space="preserve">Certain of our stores rely heavily on sales of perishable products, and ordering errors or product supply disruptions may have a material adverse effect on us. </w:t>
      </w:r>
    </w:p>
    <w:p w:rsidR="00000000" w:rsidRDefault="003E5AFF">
      <w:pPr>
        <w:pStyle w:val="NormalWeb"/>
        <w:spacing w:before="120" w:beforeAutospacing="0" w:after="0" w:afterAutospacing="0"/>
      </w:pPr>
      <w:r>
        <w:rPr>
          <w:rFonts w:ascii="Arial" w:hAnsi="Arial" w:cs="Arial"/>
        </w:rPr>
        <w:t>Our hypermarkets and supermarkets have a significant focus on perishable products. Sales of perishable products accounted for approximately 30.0% of our total sales in 2011. We rely on various suppliers and vendors to provide and deliver our product invent</w:t>
      </w:r>
      <w:r>
        <w:rPr>
          <w:rFonts w:ascii="Arial" w:hAnsi="Arial" w:cs="Arial"/>
        </w:rPr>
        <w:t>ory on a continuous basis. We could suffer significant perishable product inventory losses in the event of the loss of a major supplier or vendor, disruption of our distribution network, extended power outages, natural disasters or other catastrophic occur</w:t>
      </w:r>
      <w:r>
        <w:rPr>
          <w:rFonts w:ascii="Arial" w:hAnsi="Arial" w:cs="Arial"/>
        </w:rPr>
        <w:t xml:space="preserve">rences. We have implemented certain systems to ensure our ordering is in line with demand. We cannot assure you, however, that our ordering systems will always work efficiently, in particular in connection with the opening of new stores, which have no, or </w:t>
      </w:r>
      <w:r>
        <w:rPr>
          <w:rFonts w:ascii="Arial" w:hAnsi="Arial" w:cs="Arial"/>
        </w:rPr>
        <w:t xml:space="preserve">a limited, ordering history. If we were to over-order, we could suffer inventory losses, which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An increase in export or import duties and controls may have a material adverse effect on us. </w:t>
      </w:r>
    </w:p>
    <w:p w:rsidR="00000000" w:rsidRDefault="003E5AFF">
      <w:pPr>
        <w:pStyle w:val="NormalWeb"/>
        <w:spacing w:before="120" w:beforeAutospacing="0" w:after="0" w:afterAutospacing="0"/>
      </w:pPr>
      <w:r>
        <w:rPr>
          <w:rFonts w:ascii="Arial" w:hAnsi="Arial" w:cs="Arial"/>
        </w:rPr>
        <w:t>Our future success de</w:t>
      </w:r>
      <w:r>
        <w:rPr>
          <w:rFonts w:ascii="Arial" w:hAnsi="Arial" w:cs="Arial"/>
        </w:rPr>
        <w:t xml:space="preserve">pends on our ability to select and purchase quality merchandise at attractive prices. While we have historically been able to locate and purchase quality merchandise at good prices, such merchandise may become subject to higher import taxes than currently </w:t>
      </w:r>
      <w:r>
        <w:rPr>
          <w:rFonts w:ascii="Arial" w:hAnsi="Arial" w:cs="Arial"/>
        </w:rPr>
        <w:t>apply. For example, since 2002 the Argentine government has imposed duties on the exports of various primary and manufactured products, including some of the products we sell in our stores. During the last eight years, such export taxes have undergone sign</w:t>
      </w:r>
      <w:r>
        <w:rPr>
          <w:rFonts w:ascii="Arial" w:hAnsi="Arial" w:cs="Arial"/>
        </w:rPr>
        <w:t xml:space="preserve">ificant increases, reaching a maximum of 35%. We cannot assure you that there will not be further increases in the export taxes or that other new export or import taxes or quotas will not be imposed by the government of Argentina or of the other countries </w:t>
      </w:r>
      <w:r>
        <w:rPr>
          <w:rFonts w:ascii="Arial" w:hAnsi="Arial" w:cs="Arial"/>
        </w:rPr>
        <w:t xml:space="preserve">in which we operate. </w:t>
      </w:r>
    </w:p>
    <w:p w:rsidR="00000000" w:rsidRDefault="003E5AFF">
      <w:pPr>
        <w:pStyle w:val="NormalWeb"/>
        <w:spacing w:before="120" w:beforeAutospacing="0" w:after="0" w:afterAutospacing="0"/>
      </w:pPr>
      <w:r>
        <w:rPr>
          <w:rFonts w:ascii="Arial" w:hAnsi="Arial" w:cs="Arial"/>
        </w:rPr>
        <w:t xml:space="preserve">In addition, foreign trade policies, tariffs and other impositions and requirements on imported goods, which may depend on the product_s place of origin or on the product_s nature and specifications, as well as other factors relating </w:t>
      </w:r>
      <w:r>
        <w:rPr>
          <w:rFonts w:ascii="Arial" w:hAnsi="Arial" w:cs="Arial"/>
        </w:rPr>
        <w:t xml:space="preserve">to the foreign trade of the countries in which we operate are beyond our control and could result in difficulties in obtaining quality, low-cost merchandise from these countries and consequently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Labor relations </w:t>
      </w:r>
      <w:r>
        <w:rPr>
          <w:rFonts w:ascii="Arial" w:hAnsi="Arial" w:cs="Arial"/>
          <w:b/>
          <w:bCs/>
          <w:i/>
          <w:iCs/>
        </w:rPr>
        <w:t xml:space="preserve">may have a material adverse effect on us. </w:t>
      </w:r>
    </w:p>
    <w:p w:rsidR="00000000" w:rsidRDefault="003E5AFF">
      <w:pPr>
        <w:pStyle w:val="NormalWeb"/>
        <w:spacing w:before="120" w:beforeAutospacing="0" w:after="0" w:afterAutospacing="0"/>
      </w:pPr>
      <w:r>
        <w:rPr>
          <w:rFonts w:ascii="Arial" w:hAnsi="Arial" w:cs="Arial"/>
        </w:rPr>
        <w:t xml:space="preserve">As of March 31, 2012, approximately 43.1% of our retail store employees were represented by unions under several collective bargaining agreements. Although we currently enjoy good relations with our employees and </w:t>
      </w:r>
      <w:r>
        <w:rPr>
          <w:rFonts w:ascii="Arial" w:hAnsi="Arial" w:cs="Arial"/>
        </w:rPr>
        <w:t xml:space="preserve">their unions, we have experienced labor strikes in the past and we cannot assure you that labor relations will continue to be positive or that a deterioration in labor relations will not have a material adverse effect on us. See _Business_Employees._ </w:t>
      </w:r>
    </w:p>
    <w:p w:rsidR="00000000" w:rsidRDefault="003E5AFF">
      <w:pPr>
        <w:pStyle w:val="NormalWeb"/>
        <w:spacing w:before="120" w:beforeAutospacing="0" w:after="0" w:afterAutospacing="0"/>
      </w:pPr>
      <w:r>
        <w:rPr>
          <w:rFonts w:ascii="Arial" w:hAnsi="Arial" w:cs="Arial"/>
          <w:b/>
          <w:bCs/>
          <w:i/>
          <w:iCs/>
        </w:rPr>
        <w:t>We c</w:t>
      </w:r>
      <w:r>
        <w:rPr>
          <w:rFonts w:ascii="Arial" w:hAnsi="Arial" w:cs="Arial"/>
          <w:b/>
          <w:bCs/>
          <w:i/>
          <w:iCs/>
        </w:rPr>
        <w:t xml:space="preserve">ould be harmed by a failure or interruption of our information technology or administrative systems. </w:t>
      </w:r>
    </w:p>
    <w:p w:rsidR="00000000" w:rsidRDefault="003E5AFF">
      <w:pPr>
        <w:pStyle w:val="NormalWeb"/>
        <w:spacing w:before="120" w:beforeAutospacing="0" w:after="0" w:afterAutospacing="0"/>
      </w:pPr>
      <w:r>
        <w:rPr>
          <w:rFonts w:ascii="Arial" w:hAnsi="Arial" w:cs="Arial"/>
        </w:rPr>
        <w:t>We rely on our information technology and administrative systems to effectively manage our business data, communications, supply chain, pricing, order ent</w:t>
      </w:r>
      <w:r>
        <w:rPr>
          <w:rFonts w:ascii="Arial" w:hAnsi="Arial" w:cs="Arial"/>
        </w:rPr>
        <w:t xml:space="preserve">ry and fulfillment and other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- 37 - </w:t>
      </w:r>
    </w:p>
    <w:p w:rsidR="00000000" w:rsidRDefault="003E5AFF">
      <w:pPr>
        <w:rPr>
          <w:rFonts w:eastAsia="Times New Roman" w:cs="Times New Roman"/>
        </w:rPr>
      </w:pPr>
      <w:r>
        <w:rPr>
          <w:rFonts w:eastAsia="Times New Roman" w:cs="Times New Roman"/>
        </w:rPr>
        <w:pict>
          <v:rect id="_x0000_i1071" style="width:441.9pt;height:3pt" o:hralign="center" o:hrstd="t" o:hrnoshade="t" o:hr="t" fillcolor="#999" stroked="f"/>
        </w:pict>
      </w:r>
    </w:p>
    <w:p w:rsidR="00000000" w:rsidRDefault="003E5AFF">
      <w:pPr>
        <w:pStyle w:val="Heading5"/>
        <w:rPr>
          <w:rFonts w:eastAsia="Times New Roman" w:cs="Times New Roman"/>
        </w:rPr>
      </w:pPr>
      <w:hyperlink r:id="rId8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business processes. We use different world-class platforms in our r</w:t>
      </w:r>
      <w:r>
        <w:rPr>
          <w:rFonts w:ascii="Arial" w:hAnsi="Arial" w:cs="Arial"/>
        </w:rPr>
        <w:t>etail and financial services segments in all countries in which we operate. Even advanced technology systems, however, are subject to defects, interruptions and breakdowns. The failure of our information technology or administrative systems to perform as w</w:t>
      </w:r>
      <w:r>
        <w:rPr>
          <w:rFonts w:ascii="Arial" w:hAnsi="Arial" w:cs="Arial"/>
        </w:rPr>
        <w:t>e anticipate could disrupt our business and result in transaction errors, processing inefficiencies and the loss of sales and customers, which in turn could result in decreased revenue, increased overhead costs and excess or out-of-stock inventory levels r</w:t>
      </w:r>
      <w:r>
        <w:rPr>
          <w:rFonts w:ascii="Arial" w:hAnsi="Arial" w:cs="Arial"/>
        </w:rPr>
        <w:t xml:space="preserve">esulting in a material adverse effect on us. </w:t>
      </w:r>
    </w:p>
    <w:p w:rsidR="00000000" w:rsidRDefault="003E5AFF">
      <w:pPr>
        <w:pStyle w:val="NormalWeb"/>
        <w:spacing w:before="120" w:beforeAutospacing="0" w:after="0" w:afterAutospacing="0"/>
      </w:pPr>
      <w:r>
        <w:rPr>
          <w:rFonts w:ascii="Arial" w:hAnsi="Arial" w:cs="Arial"/>
        </w:rPr>
        <w:t>In addition, our information technology and administrative systems may be vulnerable to damage or interruption from circumstances beyond our control, including fire, natural disasters, systems failures, viruses</w:t>
      </w:r>
      <w:r>
        <w:rPr>
          <w:rFonts w:ascii="Arial" w:hAnsi="Arial" w:cs="Arial"/>
        </w:rPr>
        <w:t xml:space="preserve"> and security breaches, including breaches of our transaction processing or other systems that could result in the compromise of confidential customer data. Any such damage or interruption could have a material adverse effect on us, including as a result o</w:t>
      </w:r>
      <w:r>
        <w:rPr>
          <w:rFonts w:ascii="Arial" w:hAnsi="Arial" w:cs="Arial"/>
        </w:rPr>
        <w:t>f our facing significant fines, customer notice obligations or costly litigation, harming our reputation with our customers or requiring us to expend significant time and expense developing, maintaining or upgrading our information technology or administra</w:t>
      </w:r>
      <w:r>
        <w:rPr>
          <w:rFonts w:ascii="Arial" w:hAnsi="Arial" w:cs="Arial"/>
        </w:rPr>
        <w:t xml:space="preserve">tive systems, or preventing us from paying our suppliers or employees, receiving payments from our customers or performing other information technology or administrative services on a timely basis. </w:t>
      </w:r>
    </w:p>
    <w:p w:rsidR="00000000" w:rsidRDefault="003E5AFF">
      <w:pPr>
        <w:pStyle w:val="NormalWeb"/>
        <w:spacing w:before="120" w:beforeAutospacing="0" w:after="0" w:afterAutospacing="0"/>
      </w:pPr>
      <w:r>
        <w:rPr>
          <w:rFonts w:ascii="Arial" w:hAnsi="Arial" w:cs="Arial"/>
        </w:rPr>
        <w:t>We are currently in the process of upgrading our IT infra</w:t>
      </w:r>
      <w:r>
        <w:rPr>
          <w:rFonts w:ascii="Arial" w:hAnsi="Arial" w:cs="Arial"/>
        </w:rPr>
        <w:t xml:space="preserve">structure, during the implementation and transition period, we could face delays and unexpected challenges that could affect our operations. </w:t>
      </w:r>
    </w:p>
    <w:p w:rsidR="00000000" w:rsidRDefault="003E5AFF">
      <w:pPr>
        <w:pStyle w:val="NormalWeb"/>
        <w:spacing w:before="120" w:beforeAutospacing="0" w:after="0" w:afterAutospacing="0"/>
      </w:pPr>
      <w:r>
        <w:rPr>
          <w:rFonts w:ascii="Arial" w:hAnsi="Arial" w:cs="Arial"/>
        </w:rPr>
        <w:t>Further, while we have some backup data-processing systems that could be used in the event of a catastrophe or a f</w:t>
      </w:r>
      <w:r>
        <w:rPr>
          <w:rFonts w:ascii="Arial" w:hAnsi="Arial" w:cs="Arial"/>
        </w:rPr>
        <w:t>ailure of our primary systems, we do not yet have an integrated disaster recovery plan nor a backup data center that covers all regions in which we operate. While we endeavor to prepare for failures of our network by providing backup systems and procedures</w:t>
      </w:r>
      <w:r>
        <w:rPr>
          <w:rFonts w:ascii="Arial" w:hAnsi="Arial" w:cs="Arial"/>
        </w:rPr>
        <w:t>, we cannot guarantee that our current backup systems and procedures will operate satisfactorily in the event of a regional emergency. Any substantial failure of our back-up systems to respond effectively or on a timely basis could have a material and adve</w:t>
      </w:r>
      <w:r>
        <w:rPr>
          <w:rFonts w:ascii="Arial" w:hAnsi="Arial" w:cs="Arial"/>
        </w:rPr>
        <w:t xml:space="preserve">rse effect on us. </w:t>
      </w:r>
    </w:p>
    <w:p w:rsidR="00000000" w:rsidRDefault="003E5AFF">
      <w:pPr>
        <w:pStyle w:val="NormalWeb"/>
        <w:spacing w:before="120" w:beforeAutospacing="0" w:after="0" w:afterAutospacing="0"/>
      </w:pPr>
      <w:r>
        <w:rPr>
          <w:rFonts w:ascii="Arial" w:hAnsi="Arial" w:cs="Arial"/>
          <w:b/>
          <w:bCs/>
          <w:i/>
          <w:iCs/>
        </w:rPr>
        <w:t xml:space="preserve">If we experience a data security breach and confidential customer information is disclosed, we may be subject </w:t>
      </w:r>
      <w:r>
        <w:rPr>
          <w:rFonts w:ascii="Arial" w:hAnsi="Arial" w:cs="Arial"/>
          <w:b/>
          <w:bCs/>
          <w:i/>
          <w:iCs/>
        </w:rPr>
        <w:t xml:space="preserve">to penalties and experience negative publicity, which could affect our customer relationships and have a material adverse effect on us. </w:t>
      </w:r>
    </w:p>
    <w:p w:rsidR="00000000" w:rsidRDefault="003E5AFF">
      <w:pPr>
        <w:pStyle w:val="NormalWeb"/>
        <w:spacing w:before="120" w:beforeAutospacing="0" w:after="0" w:afterAutospacing="0"/>
      </w:pPr>
      <w:r>
        <w:rPr>
          <w:rFonts w:ascii="Arial" w:hAnsi="Arial" w:cs="Arial"/>
        </w:rPr>
        <w:t>We and our customers could suffer harm if customer information were accessed by third parties due to a security failure</w:t>
      </w:r>
      <w:r>
        <w:rPr>
          <w:rFonts w:ascii="Arial" w:hAnsi="Arial" w:cs="Arial"/>
        </w:rPr>
        <w:t xml:space="preserve"> in our systems. The collection of data and processing of transactions require us to receive and store a large amount of personally identifiable data. This type of data is subject to legislation and regulation in various jurisdictions. Recently, data secur</w:t>
      </w:r>
      <w:r>
        <w:rPr>
          <w:rFonts w:ascii="Arial" w:hAnsi="Arial" w:cs="Arial"/>
        </w:rPr>
        <w:t>ity breaches suffered by well-known companies and institutions have attracted a substantial amount of media attention, prompting U.S. state and federal legislative proposals addressing data privacy and security. If similar proposals are adopted in the coun</w:t>
      </w:r>
      <w:r>
        <w:rPr>
          <w:rFonts w:ascii="Arial" w:hAnsi="Arial" w:cs="Arial"/>
        </w:rPr>
        <w:t>tries in which we operate, we may be subject to more extensive requirements to protect the customer information that we process in connection with the purchases of our products. We may become exposed to potential liabilities with respect to the data that w</w:t>
      </w:r>
      <w:r>
        <w:rPr>
          <w:rFonts w:ascii="Arial" w:hAnsi="Arial" w:cs="Arial"/>
        </w:rPr>
        <w:t>e collect, manage and process, and may incur legal costs if our information security policies and procedures are not effective or if we are required to defend our methods of collection, processing and storage of personal data. Future investigations, lawsui</w:t>
      </w:r>
      <w:r>
        <w:rPr>
          <w:rFonts w:ascii="Arial" w:hAnsi="Arial" w:cs="Arial"/>
        </w:rPr>
        <w:t>ts or adverse publicity relating to our methods of handling personal data could have a material adverse effect on our business, results of operations, financial condition and cash flows due to the costs and negative market reaction relating to such develop</w:t>
      </w:r>
      <w:r>
        <w:rPr>
          <w:rFonts w:ascii="Arial" w:hAnsi="Arial" w:cs="Arial"/>
        </w:rPr>
        <w:t xml:space="preserve">ments.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- 38 - </w:t>
      </w:r>
    </w:p>
    <w:p w:rsidR="00000000" w:rsidRDefault="003E5AFF">
      <w:pPr>
        <w:rPr>
          <w:rFonts w:eastAsia="Times New Roman" w:cs="Times New Roman"/>
        </w:rPr>
      </w:pPr>
      <w:r>
        <w:rPr>
          <w:rFonts w:eastAsia="Times New Roman" w:cs="Times New Roman"/>
        </w:rPr>
        <w:pict>
          <v:rect id="_x0000_i1072" style="width:441.9pt;height:3pt" o:hralign="center" o:hrstd="t" o:hrnoshade="t" o:hr="t" fillcolor="#999" stroked="f"/>
        </w:pict>
      </w:r>
    </w:p>
    <w:p w:rsidR="00000000" w:rsidRDefault="003E5AFF">
      <w:pPr>
        <w:pStyle w:val="Heading5"/>
        <w:rPr>
          <w:rFonts w:eastAsia="Times New Roman" w:cs="Times New Roman"/>
        </w:rPr>
      </w:pPr>
      <w:hyperlink r:id="rId8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Risks related to Chile </w:t>
      </w:r>
    </w:p>
    <w:p w:rsidR="00000000" w:rsidRDefault="003E5AFF">
      <w:pPr>
        <w:pStyle w:val="NormalWeb"/>
        <w:spacing w:before="120" w:beforeAutospacing="0" w:after="0" w:afterAutospacing="0"/>
      </w:pPr>
      <w:r>
        <w:rPr>
          <w:rFonts w:ascii="Arial" w:hAnsi="Arial" w:cs="Arial"/>
          <w:b/>
          <w:bCs/>
          <w:i/>
          <w:iCs/>
        </w:rPr>
        <w:t xml:space="preserve">Our growth and profitability depend on the level of economic activity in Chile and other markets. </w:t>
      </w:r>
    </w:p>
    <w:p w:rsidR="00000000" w:rsidRDefault="003E5AFF">
      <w:pPr>
        <w:pStyle w:val="NormalWeb"/>
        <w:spacing w:before="120" w:beforeAutospacing="0" w:after="0" w:afterAutospacing="0"/>
      </w:pPr>
      <w:r>
        <w:rPr>
          <w:rFonts w:ascii="Arial" w:hAnsi="Arial" w:cs="Arial"/>
        </w:rPr>
        <w:t>41.7% and 46.3% of our revenues from ordinary activities in the years ended December 31, 2011 and 2010, respectively, and 38.3% in the three months ended Mar</w:t>
      </w:r>
      <w:r>
        <w:rPr>
          <w:rFonts w:ascii="Arial" w:hAnsi="Arial" w:cs="Arial"/>
        </w:rPr>
        <w:t xml:space="preserve">ch 31, 2012, were derived from revenues in Chile. Accordingly, our results of operations and financial condition are dependent to a significant extent on the level of economic activity in Chile. The Chilean economy has been influenced, to varying degrees, </w:t>
      </w:r>
      <w:r>
        <w:rPr>
          <w:rFonts w:ascii="Arial" w:hAnsi="Arial" w:cs="Arial"/>
        </w:rPr>
        <w:t>by economic conditions in other emerging market countries. We cannot assure you that the Chilean economy will continue to grow in the future or that future developments in or affecting the Chilean economy, including further consequences of economic difficu</w:t>
      </w:r>
      <w:r>
        <w:rPr>
          <w:rFonts w:ascii="Arial" w:hAnsi="Arial" w:cs="Arial"/>
        </w:rPr>
        <w:t xml:space="preserve">lties in Brazil, Argentina and other emerging markets, will not have a material adverse effect on us. </w:t>
      </w:r>
    </w:p>
    <w:p w:rsidR="00000000" w:rsidRDefault="003E5AFF">
      <w:pPr>
        <w:pStyle w:val="NormalWeb"/>
        <w:spacing w:before="120" w:beforeAutospacing="0" w:after="0" w:afterAutospacing="0"/>
      </w:pPr>
      <w:r>
        <w:rPr>
          <w:rFonts w:ascii="Arial" w:hAnsi="Arial" w:cs="Arial"/>
        </w:rPr>
        <w:t xml:space="preserve">In September 2008, the housing crisis in the United States sparked a series of financial institution failures throughout </w:t>
      </w:r>
      <w:r>
        <w:rPr>
          <w:rFonts w:ascii="Arial" w:hAnsi="Arial" w:cs="Arial"/>
        </w:rPr>
        <w:t>the globe. This resulted in a liquidity crisis and a reduction in growth of the global economy as financial institutions tightened risk policies and reduced lending to banks, corporations and individuals. Consequently, Chile was adversely affected by a str</w:t>
      </w:r>
      <w:r>
        <w:rPr>
          <w:rFonts w:ascii="Arial" w:hAnsi="Arial" w:cs="Arial"/>
        </w:rPr>
        <w:t xml:space="preserve">ong decrease in growth during the fourth quarter of 2008 and during 2009 as its trading partners entered into recession, which affected local sales, employment levels, plans for investment and the price of exports. Lingering negative effects of the global </w:t>
      </w:r>
      <w:r>
        <w:rPr>
          <w:rFonts w:ascii="Arial" w:hAnsi="Arial" w:cs="Arial"/>
        </w:rPr>
        <w:t>recession may continue to adversely affect the Chilean economy and unfavorable general economic conditions could negatively affect the affordability of and demand for some of our products and services and our ability to access the capital markets. In diffi</w:t>
      </w:r>
      <w:r>
        <w:rPr>
          <w:rFonts w:ascii="Arial" w:hAnsi="Arial" w:cs="Arial"/>
        </w:rPr>
        <w:t>cult economic conditions, consumers may seek to reduce discretionary spending by forgoing purchases of some of our products, electing to use fewer higher-margin services or obtaining products and services under lower-cost programs offered by competitors. I</w:t>
      </w:r>
      <w:r>
        <w:rPr>
          <w:rFonts w:ascii="Arial" w:hAnsi="Arial" w:cs="Arial"/>
        </w:rPr>
        <w:t xml:space="preserve">f any of these events were to occur, it could have a material adverse effect on us. </w:t>
      </w:r>
    </w:p>
    <w:p w:rsidR="00000000" w:rsidRDefault="003E5AFF">
      <w:pPr>
        <w:pStyle w:val="NormalWeb"/>
        <w:spacing w:before="120" w:beforeAutospacing="0" w:after="0" w:afterAutospacing="0"/>
      </w:pPr>
      <w:r>
        <w:rPr>
          <w:rFonts w:ascii="Arial" w:hAnsi="Arial" w:cs="Arial"/>
        </w:rPr>
        <w:t>In spite of the recent growth of the Chilean economy, we cannot assure you that Chile_s economy will continue to grow in the future, nor can we assure you that future deve</w:t>
      </w:r>
      <w:r>
        <w:rPr>
          <w:rFonts w:ascii="Arial" w:hAnsi="Arial" w:cs="Arial"/>
        </w:rPr>
        <w:t xml:space="preserve">lopments in or affecting the Chilean economy will not impair our ability to proceed with our business plan or have a material adverse effect on us. </w:t>
      </w:r>
    </w:p>
    <w:p w:rsidR="00000000" w:rsidRDefault="003E5AFF">
      <w:pPr>
        <w:pStyle w:val="NormalWeb"/>
        <w:spacing w:before="120" w:beforeAutospacing="0" w:after="0" w:afterAutospacing="0"/>
      </w:pPr>
      <w:r>
        <w:rPr>
          <w:rFonts w:ascii="Arial" w:hAnsi="Arial" w:cs="Arial"/>
          <w:b/>
          <w:bCs/>
          <w:i/>
          <w:iCs/>
        </w:rPr>
        <w:t>Economic and political problems encountered by other countries may adversely affect the Chilean economy, an</w:t>
      </w:r>
      <w:r>
        <w:rPr>
          <w:rFonts w:ascii="Arial" w:hAnsi="Arial" w:cs="Arial"/>
          <w:b/>
          <w:bCs/>
          <w:i/>
          <w:iCs/>
        </w:rPr>
        <w:t xml:space="preserve">d, as a result, our results of operations and the market value of our securities. </w:t>
      </w:r>
    </w:p>
    <w:p w:rsidR="00000000" w:rsidRDefault="003E5AFF">
      <w:pPr>
        <w:pStyle w:val="NormalWeb"/>
        <w:spacing w:before="120" w:beforeAutospacing="0" w:after="0" w:afterAutospacing="0"/>
      </w:pPr>
      <w:r>
        <w:rPr>
          <w:rFonts w:ascii="Arial" w:hAnsi="Arial" w:cs="Arial"/>
        </w:rPr>
        <w:t>The prices of securities issued by Chilean companies are to varying degrees influenced by economic and market considerations in other countries. We cannot assure you that fu</w:t>
      </w:r>
      <w:r>
        <w:rPr>
          <w:rFonts w:ascii="Arial" w:hAnsi="Arial" w:cs="Arial"/>
        </w:rPr>
        <w:t xml:space="preserve">ture developments in or affecting the Chilean economy, including consequences of economic difficulties in other markets, will not have a material adverse effect on us. </w:t>
      </w:r>
    </w:p>
    <w:p w:rsidR="00000000" w:rsidRDefault="003E5AFF">
      <w:pPr>
        <w:pStyle w:val="NormalWeb"/>
        <w:spacing w:before="120" w:beforeAutospacing="0" w:after="0" w:afterAutospacing="0"/>
      </w:pPr>
      <w:r>
        <w:rPr>
          <w:rFonts w:ascii="Arial" w:hAnsi="Arial" w:cs="Arial"/>
        </w:rPr>
        <w:t>We are also directly exposed to risks related to the weakness and volatility of the eco</w:t>
      </w:r>
      <w:r>
        <w:rPr>
          <w:rFonts w:ascii="Arial" w:hAnsi="Arial" w:cs="Arial"/>
        </w:rPr>
        <w:t>nomic and political situation in Asia, the United States, Europe, Brazil, Argentina and other nations. If these nations_ economic conditions deteriorate, the economy in Chile, as either a neighboring country or a trading partner, could also be affected and</w:t>
      </w:r>
      <w:r>
        <w:rPr>
          <w:rFonts w:ascii="Arial" w:hAnsi="Arial" w:cs="Arial"/>
        </w:rPr>
        <w:t xml:space="preserve"> could experience slower growth than in recent years with possible adverse impact on our customers and suppliers. The crises and political uncertainties in other Latin American countries could also have an adverse effect on the Chilean economy, and, as a r</w:t>
      </w:r>
      <w:r>
        <w:rPr>
          <w:rFonts w:ascii="Arial" w:hAnsi="Arial" w:cs="Arial"/>
        </w:rPr>
        <w:t xml:space="preserve">esult, our results of operations and the market value of our securities.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- 39 - </w:t>
      </w:r>
    </w:p>
    <w:p w:rsidR="00000000" w:rsidRDefault="003E5AFF">
      <w:pPr>
        <w:rPr>
          <w:rFonts w:eastAsia="Times New Roman" w:cs="Times New Roman"/>
        </w:rPr>
      </w:pPr>
      <w:r>
        <w:rPr>
          <w:rFonts w:eastAsia="Times New Roman" w:cs="Times New Roman"/>
        </w:rPr>
        <w:pict>
          <v:rect id="_x0000_i1073" style="width:441.9pt;height:3pt" o:hralign="center" o:hrstd="t" o:hrnoshade="t" o:hr="t" fillcolor="#999" stroked="f"/>
        </w:pict>
      </w:r>
    </w:p>
    <w:p w:rsidR="00000000" w:rsidRDefault="003E5AFF">
      <w:pPr>
        <w:pStyle w:val="Heading5"/>
        <w:rPr>
          <w:rFonts w:eastAsia="Times New Roman" w:cs="Times New Roman"/>
        </w:rPr>
      </w:pPr>
      <w:hyperlink r:id="rId9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Chile is also involved </w:t>
      </w:r>
      <w:r>
        <w:rPr>
          <w:rFonts w:ascii="Arial" w:hAnsi="Arial" w:cs="Arial"/>
        </w:rPr>
        <w:t>in an international litigation with Peru regarding maritime borders and has had other conflicts with neighboring countries in the past. We cannot assure you that crisis and political uncertainty in other Latin American countries will not have a material ad</w:t>
      </w:r>
      <w:r>
        <w:rPr>
          <w:rFonts w:ascii="Arial" w:hAnsi="Arial" w:cs="Arial"/>
        </w:rPr>
        <w:t xml:space="preserve">verse effect on the Chilean economy, and, as a result, our results of operations and the market value of our securities. </w:t>
      </w:r>
    </w:p>
    <w:p w:rsidR="00000000" w:rsidRDefault="003E5AFF">
      <w:pPr>
        <w:pStyle w:val="NormalWeb"/>
        <w:spacing w:before="120" w:beforeAutospacing="0" w:after="0" w:afterAutospacing="0"/>
      </w:pPr>
      <w:r>
        <w:rPr>
          <w:rFonts w:ascii="Arial" w:hAnsi="Arial" w:cs="Arial"/>
          <w:b/>
          <w:bCs/>
          <w:i/>
          <w:iCs/>
        </w:rPr>
        <w:t xml:space="preserve">The Chilean supermarket and department store industries show signs of saturation which could impair our ability to grow profitably in </w:t>
      </w: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rPr>
        <w:t>We believe that the Chilean supermarket industry shows certain signs of saturation. As a result newly opened stores cannibalize the sales of existing stores to some extent. Our growth prospects in the Chilean food retailing sector are likely to dep</w:t>
      </w:r>
      <w:r>
        <w:rPr>
          <w:rFonts w:ascii="Arial" w:hAnsi="Arial" w:cs="Arial"/>
        </w:rPr>
        <w:t>end to a large extent on future growth in Chilean _GDP_ or acquisitions of other supermarket chains, and we cannot assure you that either will in fact occur. As a result, we cannot assure you that in the future we will be able to achieve real growth in sam</w:t>
      </w:r>
      <w:r>
        <w:rPr>
          <w:rFonts w:ascii="Arial" w:hAnsi="Arial" w:cs="Arial"/>
        </w:rPr>
        <w:t xml:space="preserve">e-store sales in Chile. We believe that the Chilean department store industry has also shown signs of saturation as a result of a very aggressive expansion in past years by the industry_s main participants. </w:t>
      </w:r>
    </w:p>
    <w:p w:rsidR="00000000" w:rsidRDefault="003E5AFF">
      <w:pPr>
        <w:pStyle w:val="NormalWeb"/>
        <w:spacing w:before="120" w:beforeAutospacing="0" w:after="0" w:afterAutospacing="0"/>
      </w:pPr>
      <w:r>
        <w:rPr>
          <w:rFonts w:ascii="Arial" w:hAnsi="Arial" w:cs="Arial"/>
        </w:rPr>
        <w:t>In addition, good locations are increasingly dif</w:t>
      </w:r>
      <w:r>
        <w:rPr>
          <w:rFonts w:ascii="Arial" w:hAnsi="Arial" w:cs="Arial"/>
        </w:rPr>
        <w:t>ficult to find, particularly for our big-box stores. Most major retailers have locked up key mall properties and control large land banks, and as a result we have faced difficulties in finding acceptable sites because we are more likely to open mid- to lar</w:t>
      </w:r>
      <w:r>
        <w:rPr>
          <w:rFonts w:ascii="Arial" w:hAnsi="Arial" w:cs="Arial"/>
        </w:rPr>
        <w:t xml:space="preserve">ge-size supermarkets. We may be vulnerable to the expansion by _small box_ supermarkets, such as convenience stores, who may more readily find suitable properties. </w:t>
      </w:r>
    </w:p>
    <w:p w:rsidR="00000000" w:rsidRDefault="003E5AFF">
      <w:pPr>
        <w:pStyle w:val="NormalWeb"/>
        <w:spacing w:before="120" w:beforeAutospacing="0" w:after="0" w:afterAutospacing="0"/>
      </w:pPr>
      <w:r>
        <w:rPr>
          <w:rFonts w:ascii="Arial" w:hAnsi="Arial" w:cs="Arial"/>
          <w:b/>
          <w:bCs/>
          <w:i/>
          <w:iCs/>
        </w:rPr>
        <w:t>Temporary increases in the corporate tax rate in Chile to finance part of the reconstructio</w:t>
      </w:r>
      <w:r>
        <w:rPr>
          <w:rFonts w:ascii="Arial" w:hAnsi="Arial" w:cs="Arial"/>
          <w:b/>
          <w:bCs/>
          <w:i/>
          <w:iCs/>
        </w:rPr>
        <w:t xml:space="preserve">n effort may be extended and such extension may have a material adverse effect on us. </w:t>
      </w:r>
    </w:p>
    <w:p w:rsidR="00000000" w:rsidRDefault="003E5AFF">
      <w:pPr>
        <w:pStyle w:val="NormalWeb"/>
        <w:spacing w:before="120" w:beforeAutospacing="0" w:after="0" w:afterAutospacing="0"/>
      </w:pPr>
      <w:r>
        <w:rPr>
          <w:rFonts w:ascii="Arial" w:hAnsi="Arial" w:cs="Arial"/>
        </w:rPr>
        <w:t>As a result of the February 2010 earthquake and tsunami, the Chilean government raised the corporate income tax rate in order to pay for reconstruction following the ear</w:t>
      </w:r>
      <w:r>
        <w:rPr>
          <w:rFonts w:ascii="Arial" w:hAnsi="Arial" w:cs="Arial"/>
        </w:rPr>
        <w:t>thquake and tsunami. The new legislation increased the general corporate tax rate from its historic rate of 17.0% to 20.0% for the income reported in 2011. The rate decreased to 18.5% in 2012. Although the corporate income tax increase was approved as a te</w:t>
      </w:r>
      <w:r>
        <w:rPr>
          <w:rFonts w:ascii="Arial" w:hAnsi="Arial" w:cs="Arial"/>
        </w:rPr>
        <w:t>mporary amendment and the law contemplates returning to the 17.0% rate in 2013, on May 2, 2011 the Government proposed to retain the corporate tax rate at 20%. This legislation, and any future increases in the corporate income tax rate, may have a material</w:t>
      </w:r>
      <w:r>
        <w:rPr>
          <w:rFonts w:ascii="Arial" w:hAnsi="Arial" w:cs="Arial"/>
        </w:rPr>
        <w:t xml:space="preserve"> adverse effect on us. </w:t>
      </w:r>
    </w:p>
    <w:p w:rsidR="00000000" w:rsidRDefault="003E5AFF">
      <w:pPr>
        <w:pStyle w:val="NormalWeb"/>
        <w:spacing w:before="120" w:beforeAutospacing="0" w:after="0" w:afterAutospacing="0"/>
      </w:pPr>
      <w:r>
        <w:rPr>
          <w:rFonts w:ascii="Arial" w:hAnsi="Arial" w:cs="Arial"/>
          <w:b/>
          <w:bCs/>
          <w:i/>
          <w:iCs/>
        </w:rPr>
        <w:t xml:space="preserve">Inflation and government measures to curb inflation may adversely affect the Chilean economy and have a material adverse effect on us. </w:t>
      </w:r>
    </w:p>
    <w:p w:rsidR="00000000" w:rsidRDefault="003E5AFF">
      <w:pPr>
        <w:pStyle w:val="NormalWeb"/>
        <w:spacing w:before="120" w:beforeAutospacing="0" w:after="0" w:afterAutospacing="0"/>
      </w:pPr>
      <w:r>
        <w:rPr>
          <w:rFonts w:ascii="Arial" w:hAnsi="Arial" w:cs="Arial"/>
        </w:rPr>
        <w:t>Chile has experienced high levels of inflation in the past, including increases in the Chilean c</w:t>
      </w:r>
      <w:r>
        <w:rPr>
          <w:rFonts w:ascii="Arial" w:hAnsi="Arial" w:cs="Arial"/>
        </w:rPr>
        <w:t>onsumer price index of 7.8%, 7.1%, -1.4%, and 3.0% in 2007, 2008, 2009 and 2010, respectively. Chile experienced deflation of 1.4% during 2009, inflation of 3.0% during 2010 and inflation of 4.4% during 2011, according to the Central Bank of Chile. We cann</w:t>
      </w:r>
      <w:r>
        <w:rPr>
          <w:rFonts w:ascii="Arial" w:hAnsi="Arial" w:cs="Arial"/>
        </w:rPr>
        <w:t xml:space="preserve">ot assure you that this trend will continue. </w:t>
      </w:r>
    </w:p>
    <w:p w:rsidR="00000000" w:rsidRDefault="003E5AFF">
      <w:pPr>
        <w:pStyle w:val="NormalWeb"/>
        <w:spacing w:before="120" w:beforeAutospacing="0" w:after="0" w:afterAutospacing="0"/>
      </w:pPr>
      <w:r>
        <w:rPr>
          <w:rFonts w:ascii="Arial" w:hAnsi="Arial" w:cs="Arial"/>
        </w:rPr>
        <w:t>The measures taken by the Chilean Central Bank to control inflation have often included maintaining a tight monetary policy with high interest rates, thereby restricting the availability of credit and retarding</w:t>
      </w:r>
      <w:r>
        <w:rPr>
          <w:rFonts w:ascii="Arial" w:hAnsi="Arial" w:cs="Arial"/>
        </w:rPr>
        <w:t xml:space="preserve"> economic growth. Inflation, measures to combat inflation and public speculation about possible additional actions have also contributed materially to economic uncertainty in Chile and to heightened volatility in its securities markets. Periods of higher i</w:t>
      </w:r>
      <w:r>
        <w:rPr>
          <w:rFonts w:ascii="Arial" w:hAnsi="Arial" w:cs="Arial"/>
        </w:rPr>
        <w:t xml:space="preserve">nflation may also slow the growth rate of the Chilean economy, which could lead to reduced demand for our products and services and decreased sales. Inflation is also likely to increase some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- 40 - </w:t>
      </w:r>
    </w:p>
    <w:p w:rsidR="00000000" w:rsidRDefault="003E5AFF">
      <w:pPr>
        <w:rPr>
          <w:rFonts w:eastAsia="Times New Roman" w:cs="Times New Roman"/>
        </w:rPr>
      </w:pPr>
      <w:r>
        <w:rPr>
          <w:rFonts w:eastAsia="Times New Roman" w:cs="Times New Roman"/>
        </w:rPr>
        <w:pict>
          <v:rect id="_x0000_i1074" style="width:441.9pt;height:3pt" o:hralign="center" o:hrstd="t" o:hrnoshade="t" o:hr="t" fillcolor="#999" stroked="f"/>
        </w:pict>
      </w:r>
    </w:p>
    <w:p w:rsidR="00000000" w:rsidRDefault="003E5AFF">
      <w:pPr>
        <w:pStyle w:val="Heading5"/>
        <w:rPr>
          <w:rFonts w:eastAsia="Times New Roman" w:cs="Times New Roman"/>
        </w:rPr>
      </w:pPr>
      <w:hyperlink r:id="rId9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of our costs and expenses, given that the majority of our supply contracts are denominated in </w:t>
      </w:r>
      <w:r>
        <w:rPr>
          <w:rFonts w:ascii="Arial" w:hAnsi="Arial" w:cs="Arial"/>
          <w:i/>
          <w:iCs/>
        </w:rPr>
        <w:t>Unida</w:t>
      </w:r>
      <w:r>
        <w:rPr>
          <w:rFonts w:ascii="Arial" w:hAnsi="Arial" w:cs="Arial"/>
          <w:i/>
          <w:iCs/>
        </w:rPr>
        <w:t>des de Fomento</w:t>
      </w:r>
      <w:r>
        <w:rPr>
          <w:rFonts w:ascii="Arial" w:hAnsi="Arial" w:cs="Arial"/>
        </w:rPr>
        <w:t xml:space="preserve"> (_UF_) or are indexed to the Chilean consumer price index, and we may not be able to fully pass any such increases on to our customers, which could have a material adverse effect on us. Furthermore, at March 31, 2012, approximately 28% of ou</w:t>
      </w:r>
      <w:r>
        <w:rPr>
          <w:rFonts w:ascii="Arial" w:hAnsi="Arial" w:cs="Arial"/>
        </w:rPr>
        <w:t xml:space="preserve">r outstanding debt was UF-denominated. As a result, severe increases in inflation could affect the Chilean economy and could have a material adverse effect on us. </w:t>
      </w:r>
    </w:p>
    <w:p w:rsidR="00000000" w:rsidRDefault="003E5AFF">
      <w:pPr>
        <w:pStyle w:val="NormalWeb"/>
        <w:spacing w:before="120" w:beforeAutospacing="0" w:after="0" w:afterAutospacing="0"/>
      </w:pPr>
      <w:r>
        <w:rPr>
          <w:rFonts w:ascii="Arial" w:hAnsi="Arial" w:cs="Arial"/>
          <w:b/>
          <w:bCs/>
          <w:i/>
          <w:iCs/>
        </w:rPr>
        <w:t>Currency devaluations and foreign exchange fluctuations may have a material adverse effect o</w:t>
      </w:r>
      <w:r>
        <w:rPr>
          <w:rFonts w:ascii="Arial" w:hAnsi="Arial" w:cs="Arial"/>
          <w:b/>
          <w:bCs/>
          <w:i/>
          <w:iCs/>
        </w:rPr>
        <w:t xml:space="preserve">n us. </w:t>
      </w:r>
    </w:p>
    <w:p w:rsidR="00000000" w:rsidRDefault="003E5AFF">
      <w:pPr>
        <w:pStyle w:val="NormalWeb"/>
        <w:spacing w:before="120" w:beforeAutospacing="0" w:after="0" w:afterAutospacing="0"/>
      </w:pPr>
      <w:r>
        <w:rPr>
          <w:rFonts w:ascii="Arial" w:hAnsi="Arial" w:cs="Arial"/>
        </w:rPr>
        <w:t>The Chilean peso has been subject to large devaluations and appreciations in the past and could be subject to significant fluctuations in the future. The main driver of exchange rate volatility in the past years was the significant devaluations in o</w:t>
      </w:r>
      <w:r>
        <w:rPr>
          <w:rFonts w:ascii="Arial" w:hAnsi="Arial" w:cs="Arial"/>
        </w:rPr>
        <w:t>ther Latin American countries, mainly Brazil, as well as general uncertainty and trade imbalances in the global markets. In 2007, the Chilean peso appreciation was driven by an improvement in Chilean economic indicators and record commodities prices, toget</w:t>
      </w:r>
      <w:r>
        <w:rPr>
          <w:rFonts w:ascii="Arial" w:hAnsi="Arial" w:cs="Arial"/>
        </w:rPr>
        <w:t xml:space="preserve">her with a weak performance of the U.S. dollar. More recently, the primary driver of exchange rate volatility has been the substantial appreciation of Latin American currencies, including the Chilean peso, against the U.S. dollar. The value of the Chilean </w:t>
      </w:r>
      <w:r>
        <w:rPr>
          <w:rFonts w:ascii="Arial" w:hAnsi="Arial" w:cs="Arial"/>
        </w:rPr>
        <w:t xml:space="preserve">peso against the U.S. dollar may continue to fluctuate significantly in the future. See _Exchange Controls._ </w:t>
      </w:r>
    </w:p>
    <w:p w:rsidR="00000000" w:rsidRDefault="003E5AFF">
      <w:pPr>
        <w:pStyle w:val="NormalWeb"/>
        <w:spacing w:before="120" w:beforeAutospacing="0" w:after="0" w:afterAutospacing="0"/>
      </w:pPr>
      <w:r>
        <w:rPr>
          <w:rFonts w:ascii="Arial" w:hAnsi="Arial" w:cs="Arial"/>
        </w:rPr>
        <w:t xml:space="preserve">Historically, a significant portion of our indebtedness has been denominated in U.S. dollars, while a </w:t>
      </w:r>
      <w:r>
        <w:rPr>
          <w:rFonts w:ascii="Arial" w:hAnsi="Arial" w:cs="Arial"/>
        </w:rPr>
        <w:t>substantial part of our revenues and operating expenses has been denominated in Chilean pesos. If the Chilean peso_s value declines against the dollar, we will need more Chilean pesos to repay the same amount of dollar-denominated debt. As a result, fluctu</w:t>
      </w:r>
      <w:r>
        <w:rPr>
          <w:rFonts w:ascii="Arial" w:hAnsi="Arial" w:cs="Arial"/>
        </w:rPr>
        <w:t>ations in the Chilean peso to U.S. dollar exchange rate may affect us. As of March 31, 2012, 29% of our financial debt (bank loans and bonds) was denominated in U.S. dollars, and 68% of such debt was fully hedged against exchange rate variations between th</w:t>
      </w:r>
      <w:r>
        <w:rPr>
          <w:rFonts w:ascii="Arial" w:hAnsi="Arial" w:cs="Arial"/>
        </w:rPr>
        <w:t>e Chilean peso and the U.S. dollar through financial instruments such as forward exchange agreements and cross-currency swaps. The remainder of our interest-bearing debt is primarily UF- or Chilean peso-denominated and therefore not subject to exchange rat</w:t>
      </w:r>
      <w:r>
        <w:rPr>
          <w:rFonts w:ascii="Arial" w:hAnsi="Arial" w:cs="Arial"/>
        </w:rPr>
        <w:t xml:space="preserve">e risk. Our hedging policy against foreign exchange fluctuations is disclosed in _Management_s Discussion and Analysis of Results of Operations_Quantitative and Qualitative Disclosure About Market Risk_Foreign Currency Risk._ We cannot assure you that our </w:t>
      </w:r>
      <w:r>
        <w:rPr>
          <w:rFonts w:ascii="Arial" w:hAnsi="Arial" w:cs="Arial"/>
        </w:rPr>
        <w:t xml:space="preserve">hedging policies will avoid future losses related to exchange rate variations. </w:t>
      </w:r>
    </w:p>
    <w:p w:rsidR="00000000" w:rsidRDefault="003E5AFF">
      <w:pPr>
        <w:pStyle w:val="NormalWeb"/>
        <w:spacing w:before="120" w:beforeAutospacing="0" w:after="0" w:afterAutospacing="0"/>
      </w:pPr>
      <w:r>
        <w:rPr>
          <w:rFonts w:ascii="Arial" w:hAnsi="Arial" w:cs="Arial"/>
        </w:rPr>
        <w:t>Any significant currency devaluation or foreign exchange fluctuation in the future may adversely affect the performance of the Chilean economy and have a material adverse effec</w:t>
      </w:r>
      <w:r>
        <w:rPr>
          <w:rFonts w:ascii="Arial" w:hAnsi="Arial" w:cs="Arial"/>
        </w:rPr>
        <w:t xml:space="preserve">t on us. </w:t>
      </w:r>
    </w:p>
    <w:p w:rsidR="00000000" w:rsidRDefault="003E5AFF">
      <w:pPr>
        <w:pStyle w:val="NormalWeb"/>
        <w:spacing w:before="120" w:beforeAutospacing="0" w:after="0" w:afterAutospacing="0"/>
      </w:pPr>
      <w:r>
        <w:rPr>
          <w:rFonts w:ascii="Arial" w:hAnsi="Arial" w:cs="Arial"/>
          <w:b/>
          <w:bCs/>
          <w:i/>
          <w:iCs/>
        </w:rPr>
        <w:t xml:space="preserve">Chile has different corporate disclosure and accounting standards than those you may be familiar with in the United States. </w:t>
      </w:r>
    </w:p>
    <w:p w:rsidR="00000000" w:rsidRDefault="003E5AFF">
      <w:pPr>
        <w:pStyle w:val="NormalWeb"/>
        <w:spacing w:before="120" w:beforeAutospacing="0" w:after="0" w:afterAutospacing="0"/>
      </w:pPr>
      <w:r>
        <w:rPr>
          <w:rFonts w:ascii="Arial" w:hAnsi="Arial" w:cs="Arial"/>
        </w:rPr>
        <w:t>Financial reporting and securities disclosure requirements in Chile differ in certain significant respects from those req</w:t>
      </w:r>
      <w:r>
        <w:rPr>
          <w:rFonts w:ascii="Arial" w:hAnsi="Arial" w:cs="Arial"/>
        </w:rPr>
        <w:t>uired in the United States. There are also material differences between IFRS and U.S. GAAP. Accordingly, the information about us available to you will not be the same as the information available to holders of shares issued by a U.S. company. In addition,</w:t>
      </w:r>
      <w:r>
        <w:rPr>
          <w:rFonts w:ascii="Arial" w:hAnsi="Arial" w:cs="Arial"/>
        </w:rPr>
        <w:t xml:space="preserve"> the</w:t>
      </w:r>
      <w:r>
        <w:rPr>
          <w:rFonts w:ascii="Arial" w:hAnsi="Arial" w:cs="Arial"/>
          <w:i/>
          <w:iCs/>
        </w:rPr>
        <w:t xml:space="preserve"> Ley de Mercado de Valores No. 18,045</w:t>
      </w:r>
      <w:r>
        <w:rPr>
          <w:rFonts w:ascii="Arial" w:hAnsi="Arial" w:cs="Arial"/>
        </w:rPr>
        <w:t>, or the Chilean Securities Market Law, which governs open or publicly listed companies, such as us, imposes disclosure requirements that are more limited than those in the United States in certain important respect</w:t>
      </w:r>
      <w:r>
        <w:rPr>
          <w:rFonts w:ascii="Arial" w:hAnsi="Arial" w:cs="Arial"/>
        </w:rPr>
        <w:t>s. In addition, although Chilean law imposes restrictions on insider trading and price manipulation, applicable Chilean laws are different from those in the United States, and the Chilean securities markets are not as highly regulated and supervised as the</w:t>
      </w:r>
      <w:r>
        <w:rPr>
          <w:rFonts w:ascii="Arial" w:hAnsi="Arial" w:cs="Arial"/>
        </w:rPr>
        <w:t xml:space="preserve"> U.S. securities markets.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- 41 - </w:t>
      </w:r>
    </w:p>
    <w:p w:rsidR="00000000" w:rsidRDefault="003E5AFF">
      <w:pPr>
        <w:rPr>
          <w:rFonts w:eastAsia="Times New Roman" w:cs="Times New Roman"/>
        </w:rPr>
      </w:pPr>
      <w:r>
        <w:rPr>
          <w:rFonts w:eastAsia="Times New Roman" w:cs="Times New Roman"/>
        </w:rPr>
        <w:pict>
          <v:rect id="_x0000_i1075" style="width:441.9pt;height:3pt" o:hralign="center" o:hrstd="t" o:hrnoshade="t" o:hr="t" fillcolor="#999" stroked="f"/>
        </w:pict>
      </w:r>
    </w:p>
    <w:p w:rsidR="00000000" w:rsidRDefault="003E5AFF">
      <w:pPr>
        <w:pStyle w:val="Heading5"/>
        <w:rPr>
          <w:rFonts w:eastAsia="Times New Roman" w:cs="Times New Roman"/>
        </w:rPr>
      </w:pPr>
      <w:hyperlink r:id="rId9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Chile is located in a seismically active region. </w:t>
      </w:r>
    </w:p>
    <w:p w:rsidR="00000000" w:rsidRDefault="003E5AFF">
      <w:pPr>
        <w:pStyle w:val="NormalWeb"/>
        <w:spacing w:before="120" w:beforeAutospacing="0" w:after="0" w:afterAutospacing="0"/>
      </w:pPr>
      <w:r>
        <w:rPr>
          <w:rFonts w:ascii="Arial" w:hAnsi="Arial" w:cs="Arial"/>
        </w:rPr>
        <w:t>Chile is prone to earthquakes because it is located along major fault lines. A major earthquake, like the one that struck Chi</w:t>
      </w:r>
      <w:r>
        <w:rPr>
          <w:rFonts w:ascii="Arial" w:hAnsi="Arial" w:cs="Arial"/>
        </w:rPr>
        <w:t>le in 2010, could have significant negative consequences for our operations and for the general infrastructure in Chile, such as roads, rail and access to goods. Even though we maintain insurance policies standard for this industry with earthquake coverage</w:t>
      </w:r>
      <w:r>
        <w:rPr>
          <w:rFonts w:ascii="Arial" w:hAnsi="Arial" w:cs="Arial"/>
        </w:rPr>
        <w:t xml:space="preserve">, and our business results were not materially impacted by the 2010 earthquake, we cannot assure you that a future seismic event will not have a material adverse effect on us. See _Management_s Discussion and Analysis of Financial Condition and Results of </w:t>
      </w:r>
      <w:r>
        <w:rPr>
          <w:rFonts w:ascii="Arial" w:hAnsi="Arial" w:cs="Arial"/>
        </w:rPr>
        <w:t xml:space="preserve">Operations_Impact of the 2010 Earthquake and Tsunami._ </w:t>
      </w:r>
    </w:p>
    <w:p w:rsidR="00000000" w:rsidRDefault="003E5AFF">
      <w:pPr>
        <w:pStyle w:val="NormalWeb"/>
        <w:spacing w:before="240" w:beforeAutospacing="0" w:after="0" w:afterAutospacing="0"/>
      </w:pPr>
      <w:r>
        <w:rPr>
          <w:rFonts w:ascii="Arial" w:hAnsi="Arial" w:cs="Arial"/>
          <w:b/>
          <w:bCs/>
          <w:sz w:val="24"/>
          <w:szCs w:val="24"/>
        </w:rPr>
        <w:t xml:space="preserve">Risks related to Argentina </w:t>
      </w:r>
    </w:p>
    <w:p w:rsidR="00000000" w:rsidRDefault="003E5AFF">
      <w:pPr>
        <w:pStyle w:val="NormalWeb"/>
        <w:spacing w:before="120" w:beforeAutospacing="0" w:after="0" w:afterAutospacing="0"/>
      </w:pPr>
      <w:r>
        <w:rPr>
          <w:rFonts w:ascii="Arial" w:hAnsi="Arial" w:cs="Arial"/>
          <w:b/>
          <w:bCs/>
          <w:i/>
          <w:iCs/>
        </w:rPr>
        <w:t xml:space="preserve">Argentine economic and political conditions and perceptions of these conditions in international markets may have a direct impact on our business and our </w:t>
      </w:r>
      <w:r>
        <w:rPr>
          <w:rFonts w:ascii="Arial" w:hAnsi="Arial" w:cs="Arial"/>
          <w:b/>
          <w:bCs/>
          <w:i/>
          <w:iCs/>
        </w:rPr>
        <w:t xml:space="preserve">access to international capital markets, and could have a material and adverse effect on us. </w:t>
      </w:r>
    </w:p>
    <w:p w:rsidR="00000000" w:rsidRDefault="003E5AFF">
      <w:pPr>
        <w:pStyle w:val="NormalWeb"/>
        <w:spacing w:before="120" w:beforeAutospacing="0" w:after="0" w:afterAutospacing="0"/>
      </w:pPr>
      <w:r>
        <w:rPr>
          <w:rFonts w:ascii="Arial" w:hAnsi="Arial" w:cs="Arial"/>
        </w:rPr>
        <w:t>28.9% and 30.3% of our revenues from ordinary activities in the years ended December 31, 2011 and 2010, respectively, and 27.7% in the three month period ended Ma</w:t>
      </w:r>
      <w:r>
        <w:rPr>
          <w:rFonts w:ascii="Arial" w:hAnsi="Arial" w:cs="Arial"/>
        </w:rPr>
        <w:t xml:space="preserve">rch 31, 2012, were derived from revenues in Argentina and an important share of our land bank is located in Argentina. Accordingly, our results of operations and financial condition are affected to a significant extent by the level of economic activity in </w:t>
      </w:r>
      <w:r>
        <w:rPr>
          <w:rFonts w:ascii="Arial" w:hAnsi="Arial" w:cs="Arial"/>
        </w:rPr>
        <w:t>Argentina. The Argentine economy has experienced significant volatility in recent decades, characterized by periods of low or negative growth, high and variable levels of inflation and currency devaluation and Argentina_s sovereign credit default swap (CDS</w:t>
      </w:r>
      <w:r>
        <w:rPr>
          <w:rFonts w:ascii="Arial" w:hAnsi="Arial" w:cs="Arial"/>
        </w:rPr>
        <w:t>) spreads are currently among the highest in the world. Between 2001 and 2003 Argentina experienced a period of severe political, economic and social crisis. In 2002, enactment of Law No. 25,561 (the _Public Emergency Law_) ended more than a decade of unin</w:t>
      </w:r>
      <w:r>
        <w:rPr>
          <w:rFonts w:ascii="Arial" w:hAnsi="Arial" w:cs="Arial"/>
        </w:rPr>
        <w:t xml:space="preserve">terrupted Argentine peso/U.S. dollar parity and the Argentine peso has fluctuated significantly since then. See _Exchange Rates._ </w:t>
      </w:r>
    </w:p>
    <w:p w:rsidR="00000000" w:rsidRDefault="003E5AFF">
      <w:pPr>
        <w:pStyle w:val="NormalWeb"/>
        <w:spacing w:before="120" w:beforeAutospacing="0" w:after="0" w:afterAutospacing="0"/>
      </w:pPr>
      <w:r>
        <w:rPr>
          <w:rFonts w:ascii="Arial" w:hAnsi="Arial" w:cs="Arial"/>
        </w:rPr>
        <w:t>Although general economic conditions in Argentina have recovered significantly during recent years, there is uncertainty as t</w:t>
      </w:r>
      <w:r>
        <w:rPr>
          <w:rFonts w:ascii="Arial" w:hAnsi="Arial" w:cs="Arial"/>
        </w:rPr>
        <w:t>o whether this growth is sustainable. This is mainly because the economic growth was initially dependent on a significant devaluation of the Argentine peso and a high excess production capacity derived after a long period of deep recession, and was favored</w:t>
      </w:r>
      <w:r>
        <w:rPr>
          <w:rFonts w:ascii="Arial" w:hAnsi="Arial" w:cs="Arial"/>
        </w:rPr>
        <w:t xml:space="preserve"> by high commodity prices. The global economic crisis of 2008 has led to a sudden deceleration of the economy, accompanied by political and social unrest, inflationary and Argentine peso depreciation pressures and lack of consumer and investor confidence. </w:t>
      </w:r>
      <w:r>
        <w:rPr>
          <w:rFonts w:ascii="Arial" w:hAnsi="Arial" w:cs="Arial"/>
        </w:rPr>
        <w:t xml:space="preserve">According to the </w:t>
      </w:r>
      <w:r>
        <w:rPr>
          <w:rFonts w:ascii="Arial" w:hAnsi="Arial" w:cs="Arial"/>
          <w:i/>
          <w:iCs/>
        </w:rPr>
        <w:t>Instituto National de Estad_sticas y Censos</w:t>
      </w:r>
      <w:r>
        <w:rPr>
          <w:rFonts w:ascii="Arial" w:hAnsi="Arial" w:cs="Arial"/>
        </w:rPr>
        <w:t xml:space="preserve"> (the Argentine National Institute of Statistics and Census, or _INDEC_), Argentina_s gross domestic product, in real terms, grew by 8.7% in 2007, 6.8% in 2008, 0.9% in 2009, 9.2% in 2010 and is e</w:t>
      </w:r>
      <w:r>
        <w:rPr>
          <w:rFonts w:ascii="Arial" w:hAnsi="Arial" w:cs="Arial"/>
        </w:rPr>
        <w:t>stimated to have grown 9.3% in 2011. We cannot assure you that GDP will increase or remain stable in the future. Even though during 2010 and the first three quarters of 2011, the Argentine economy has begun to overcome the economic slowdown, showing strong</w:t>
      </w:r>
      <w:r>
        <w:rPr>
          <w:rFonts w:ascii="Arial" w:hAnsi="Arial" w:cs="Arial"/>
        </w:rPr>
        <w:t xml:space="preserve"> growth levels of 9.3% (annualized), there is uncertainty as to whether Argentina may sustain prolonged economic growth. The recent economic crisis in Europe and the uncertainties of the political future caused by the recent reelection of president Cristin</w:t>
      </w:r>
      <w:r>
        <w:rPr>
          <w:rFonts w:ascii="Arial" w:hAnsi="Arial" w:cs="Arial"/>
        </w:rPr>
        <w:t xml:space="preserve">a Fernandez, among other factors, may affect the development of the Argentine economy and have a material adverse effect on 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- 42 - </w:t>
      </w:r>
    </w:p>
    <w:p w:rsidR="00000000" w:rsidRDefault="003E5AFF">
      <w:pPr>
        <w:rPr>
          <w:rFonts w:eastAsia="Times New Roman" w:cs="Times New Roman"/>
        </w:rPr>
      </w:pPr>
      <w:r>
        <w:rPr>
          <w:rFonts w:eastAsia="Times New Roman" w:cs="Times New Roman"/>
        </w:rPr>
        <w:pict>
          <v:rect id="_x0000_i1076" style="width:441.9pt;height:3pt" o:hralign="center" o:hrstd="t" o:hrnoshade="t" o:hr="t" fillcolor="#999" stroked="f"/>
        </w:pict>
      </w:r>
    </w:p>
    <w:p w:rsidR="00000000" w:rsidRDefault="003E5AFF">
      <w:pPr>
        <w:pStyle w:val="Heading5"/>
        <w:rPr>
          <w:rFonts w:eastAsia="Times New Roman" w:cs="Times New Roman"/>
        </w:rPr>
      </w:pPr>
      <w:hyperlink r:id="rId9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Argentina_s limited ability to obtain financing from international markets and limited economic growth could have a material advers</w:t>
      </w:r>
      <w:r>
        <w:rPr>
          <w:rFonts w:ascii="Arial" w:hAnsi="Arial" w:cs="Arial"/>
          <w:b/>
          <w:bCs/>
          <w:i/>
          <w:iCs/>
        </w:rPr>
        <w:t xml:space="preserve">e effect on us. </w:t>
      </w:r>
    </w:p>
    <w:p w:rsidR="00000000" w:rsidRDefault="003E5AFF">
      <w:pPr>
        <w:pStyle w:val="NormalWeb"/>
        <w:spacing w:before="120" w:beforeAutospacing="0" w:after="0" w:afterAutospacing="0"/>
      </w:pPr>
      <w:r>
        <w:rPr>
          <w:rFonts w:ascii="Arial" w:hAnsi="Arial" w:cs="Arial"/>
        </w:rPr>
        <w:t>Argentina_s 2001 default and its failure to fully restructure its sovereign debt and fully negotiate with the holdout creditors may limit Argentina_s ability to reenter the international capital markets. Litigation initiated by holdout cre</w:t>
      </w:r>
      <w:r>
        <w:rPr>
          <w:rFonts w:ascii="Arial" w:hAnsi="Arial" w:cs="Arial"/>
        </w:rPr>
        <w:t>ditors as well as claims with the International Centre for Settlement of Investment Disputes (ICSID) have resulted and may continue to result in judgments against the Argentine government which, if not paid, could prevent Argentina from obtaining credit fr</w:t>
      </w:r>
      <w:r>
        <w:rPr>
          <w:rFonts w:ascii="Arial" w:hAnsi="Arial" w:cs="Arial"/>
        </w:rPr>
        <w:t>om multilateral organizations. Judgment creditors have sought and may continue to seek attachment orders or injunctions relating to assets of Argentina that the government intended for other uses. As a result, the government may not have the financial reso</w:t>
      </w:r>
      <w:r>
        <w:rPr>
          <w:rFonts w:ascii="Arial" w:hAnsi="Arial" w:cs="Arial"/>
        </w:rPr>
        <w:t xml:space="preserve">urces necessary to implement reforms and foster economic growth, which, in turn, could have a material adverse effect on Argentina_s economy and, consequently, on us. Furthermore, Argentina_s inability to obtain credit could have a material adverse effect </w:t>
      </w:r>
      <w:r>
        <w:rPr>
          <w:rFonts w:ascii="Arial" w:hAnsi="Arial" w:cs="Arial"/>
        </w:rPr>
        <w:t xml:space="preserve">on our Argentine subsidiaries, including their ability to access international credit markets, either for working capital requirements or to repay their debt at maturity. </w:t>
      </w:r>
    </w:p>
    <w:p w:rsidR="00000000" w:rsidRDefault="003E5AFF">
      <w:pPr>
        <w:pStyle w:val="NormalWeb"/>
        <w:spacing w:before="120" w:beforeAutospacing="0" w:after="0" w:afterAutospacing="0"/>
      </w:pPr>
      <w:r>
        <w:rPr>
          <w:rFonts w:ascii="Arial" w:hAnsi="Arial" w:cs="Arial"/>
          <w:b/>
          <w:bCs/>
          <w:i/>
          <w:iCs/>
        </w:rPr>
        <w:t>Inflation may continue to increase, causing adverse effects on the Argentine long-te</w:t>
      </w:r>
      <w:r>
        <w:rPr>
          <w:rFonts w:ascii="Arial" w:hAnsi="Arial" w:cs="Arial"/>
          <w:b/>
          <w:bCs/>
          <w:i/>
          <w:iCs/>
        </w:rPr>
        <w:t xml:space="preserve">rm credit markets as well as the Argentine economy, its growth and our activities in Argentina. </w:t>
      </w:r>
    </w:p>
    <w:p w:rsidR="00000000" w:rsidRDefault="003E5AFF">
      <w:pPr>
        <w:pStyle w:val="NormalWeb"/>
        <w:spacing w:before="120" w:beforeAutospacing="0" w:after="0" w:afterAutospacing="0"/>
      </w:pPr>
      <w:r>
        <w:rPr>
          <w:rFonts w:ascii="Arial" w:hAnsi="Arial" w:cs="Arial"/>
        </w:rPr>
        <w:t>After several years of price stability, the devaluation of the Argentine peso in January 2002 created pressures on the domestic price system that generated hig</w:t>
      </w:r>
      <w:r>
        <w:rPr>
          <w:rFonts w:ascii="Arial" w:hAnsi="Arial" w:cs="Arial"/>
        </w:rPr>
        <w:t>h inflation in 2002 before substantially stabilizing in 2003. However, consumer prices increased by 12.3% in 2005, 9.8% in 2006, 8.5% in 2007, 7.2% in 2008, 7.7% in 2009, 10.9% in 2010 and 9.5% in 2011 according to the INDEC, and private institutes estimat</w:t>
      </w:r>
      <w:r>
        <w:rPr>
          <w:rFonts w:ascii="Arial" w:hAnsi="Arial" w:cs="Arial"/>
        </w:rPr>
        <w:t>e that consumer prices have increased significantly more than official estimates. A return to a high inflation environment would also undermine Argentina_s foreign competitiveness in international trade by diluting the effects of the Argentine peso devalua</w:t>
      </w:r>
      <w:r>
        <w:rPr>
          <w:rFonts w:ascii="Arial" w:hAnsi="Arial" w:cs="Arial"/>
        </w:rPr>
        <w:t xml:space="preserve">tion and could have a material adverse effect on us. </w:t>
      </w:r>
    </w:p>
    <w:p w:rsidR="00000000" w:rsidRDefault="003E5AFF">
      <w:pPr>
        <w:pStyle w:val="NormalWeb"/>
        <w:spacing w:before="120" w:beforeAutospacing="0" w:after="0" w:afterAutospacing="0"/>
      </w:pPr>
      <w:r>
        <w:rPr>
          <w:rFonts w:ascii="Arial" w:hAnsi="Arial" w:cs="Arial"/>
          <w:b/>
          <w:bCs/>
          <w:i/>
          <w:iCs/>
        </w:rPr>
        <w:t>Significant devaluation or appreciation of the Argentine peso against the U.S. dollar and other foreign currencies may adversely affect the Argentine economy, its growth and our activities in Argentina.</w:t>
      </w:r>
      <w:r>
        <w:rPr>
          <w:rFonts w:ascii="Arial" w:hAnsi="Arial" w:cs="Arial"/>
          <w:b/>
          <w:bCs/>
          <w:i/>
          <w:iCs/>
        </w:rPr>
        <w:t xml:space="preserve"> </w:t>
      </w:r>
    </w:p>
    <w:p w:rsidR="00000000" w:rsidRDefault="003E5AFF">
      <w:pPr>
        <w:pStyle w:val="NormalWeb"/>
        <w:spacing w:before="120" w:beforeAutospacing="0" w:after="0" w:afterAutospacing="0"/>
      </w:pPr>
      <w:r>
        <w:rPr>
          <w:rFonts w:ascii="Arial" w:hAnsi="Arial" w:cs="Arial"/>
        </w:rPr>
        <w:t xml:space="preserve">The depreciation of the Argentine peso in 2002 had positive effects on the competitiveness of certain sectors of the Argentine economy, but it also had a negative impact on the financial condition of Argentine businesses and individuals. The devaluation </w:t>
      </w:r>
      <w:r>
        <w:rPr>
          <w:rFonts w:ascii="Arial" w:hAnsi="Arial" w:cs="Arial"/>
        </w:rPr>
        <w:t>adversely affected the Chilean peso and U.S. dollar value of our assets and earnings in Argentina and, thus, impaired our financial condition. Moreover, the devaluation of the Argentine peso had a negative impact on the ability of Argentine businesses to h</w:t>
      </w:r>
      <w:r>
        <w:rPr>
          <w:rFonts w:ascii="Arial" w:hAnsi="Arial" w:cs="Arial"/>
        </w:rPr>
        <w:t>onor their foreign currency-denominated debt, led to very high inflation initially, significantly reduced real wages, had a negative impact on businesses whose success is dependent on domestic market demand, and adversely affected the federal and provincia</w:t>
      </w:r>
      <w:r>
        <w:rPr>
          <w:rFonts w:ascii="Arial" w:hAnsi="Arial" w:cs="Arial"/>
        </w:rPr>
        <w:t xml:space="preserve">l governments_ ability to honor their foreign debt obligations. If the Argentine peso devalues significantly again, all of the negative effects on us and the Argentine economy related to such devaluation could recur, with material and adverse consequences </w:t>
      </w:r>
      <w:r>
        <w:rPr>
          <w:rFonts w:ascii="Arial" w:hAnsi="Arial" w:cs="Arial"/>
        </w:rPr>
        <w:t xml:space="preserve">to us. </w:t>
      </w:r>
    </w:p>
    <w:p w:rsidR="00000000" w:rsidRDefault="003E5AFF">
      <w:pPr>
        <w:pStyle w:val="NormalWeb"/>
        <w:spacing w:before="120" w:beforeAutospacing="0" w:after="0" w:afterAutospacing="0"/>
      </w:pPr>
      <w:r>
        <w:rPr>
          <w:rFonts w:ascii="Arial" w:hAnsi="Arial" w:cs="Arial"/>
        </w:rPr>
        <w:t xml:space="preserve">A substantial increase in the value of the Argentine peso against foreign currencies would adversely affect exports and could have a negative effect on the Argentine economy, with material and adverse consequences on 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- 43 - </w:t>
      </w:r>
    </w:p>
    <w:p w:rsidR="00000000" w:rsidRDefault="003E5AFF">
      <w:pPr>
        <w:rPr>
          <w:rFonts w:eastAsia="Times New Roman" w:cs="Times New Roman"/>
        </w:rPr>
      </w:pPr>
      <w:r>
        <w:rPr>
          <w:rFonts w:eastAsia="Times New Roman" w:cs="Times New Roman"/>
        </w:rPr>
        <w:pict>
          <v:rect id="_x0000_i1077" style="width:441.9pt;height:3pt" o:hralign="center" o:hrstd="t" o:hrnoshade="t" o:hr="t" fillcolor="#999" stroked="f"/>
        </w:pict>
      </w:r>
    </w:p>
    <w:p w:rsidR="00000000" w:rsidRDefault="003E5AFF">
      <w:pPr>
        <w:pStyle w:val="Heading5"/>
        <w:rPr>
          <w:rFonts w:eastAsia="Times New Roman" w:cs="Times New Roman"/>
        </w:rPr>
      </w:pPr>
      <w:hyperlink r:id="rId94"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b/>
          <w:bCs/>
          <w:i/>
          <w:iCs/>
        </w:rPr>
        <w:t xml:space="preserve">There are concerns about the accuracy of the Argentine INDEC_s measurements and thus its impact on us. </w:t>
      </w:r>
    </w:p>
    <w:p w:rsidR="00000000" w:rsidRDefault="003E5AFF">
      <w:pPr>
        <w:pStyle w:val="NormalWeb"/>
        <w:spacing w:before="120" w:beforeAutospacing="0" w:after="0" w:afterAutospacing="0"/>
      </w:pPr>
      <w:r>
        <w:rPr>
          <w:rFonts w:ascii="Arial" w:hAnsi="Arial" w:cs="Arial"/>
        </w:rPr>
        <w:t>In January 2007, the INDEC modified its methodology used in calculating the consumer price index. At the same time, the Argentine governmen</w:t>
      </w:r>
      <w:r>
        <w:rPr>
          <w:rFonts w:ascii="Arial" w:hAnsi="Arial" w:cs="Arial"/>
        </w:rPr>
        <w:t>t also replaced several key personnel at the INDEC, prompting complaints of government interference from the technical staff at the INDEC. In addition, the IMF requested that the government clarify its inflation rates. In June 2008, the INDEC published a n</w:t>
      </w:r>
      <w:r>
        <w:rPr>
          <w:rFonts w:ascii="Arial" w:hAnsi="Arial" w:cs="Arial"/>
        </w:rPr>
        <w:t xml:space="preserve">ew consumer price index that eliminated nearly half of the items included in previous surveys and introduced adjustable weightings for fruit, vegetables and clothing, which have seasonal cost variations. </w:t>
      </w:r>
    </w:p>
    <w:p w:rsidR="00000000" w:rsidRDefault="003E5AFF">
      <w:pPr>
        <w:pStyle w:val="NormalWeb"/>
        <w:spacing w:before="120" w:beforeAutospacing="0" w:after="0" w:afterAutospacing="0"/>
      </w:pPr>
      <w:r>
        <w:rPr>
          <w:rFonts w:ascii="Arial" w:hAnsi="Arial" w:cs="Arial"/>
        </w:rPr>
        <w:t>The new index has been criticized by economists and</w:t>
      </w:r>
      <w:r>
        <w:rPr>
          <w:rFonts w:ascii="Arial" w:hAnsi="Arial" w:cs="Arial"/>
        </w:rPr>
        <w:t xml:space="preserve"> investors after its initial report found prices rising well below expectations. These events have affected the credibility of the consumer price index published by INDEC, as well as other indices published by INDEC that use the consumer price index in the</w:t>
      </w:r>
      <w:r>
        <w:rPr>
          <w:rFonts w:ascii="Arial" w:hAnsi="Arial" w:cs="Arial"/>
        </w:rPr>
        <w:t>ir calculation, including the poverty index, the unemployment index and real GDP. If it is determined that it is necessary to correct the consumer price index and other INDEC indices, there could be a significant decrease in confidence in the Argentine eco</w:t>
      </w:r>
      <w:r>
        <w:rPr>
          <w:rFonts w:ascii="Arial" w:hAnsi="Arial" w:cs="Arial"/>
        </w:rPr>
        <w:t xml:space="preserve">nomy, which could, in turn, have a material adverse effect on us. </w:t>
      </w:r>
    </w:p>
    <w:p w:rsidR="00000000" w:rsidRDefault="003E5AFF">
      <w:pPr>
        <w:pStyle w:val="NormalWeb"/>
        <w:spacing w:before="120" w:beforeAutospacing="0" w:after="0" w:afterAutospacing="0"/>
      </w:pPr>
      <w:r>
        <w:rPr>
          <w:rFonts w:ascii="Arial" w:hAnsi="Arial" w:cs="Arial"/>
          <w:b/>
          <w:bCs/>
          <w:i/>
          <w:iCs/>
        </w:rPr>
        <w:t xml:space="preserve">Government intervention in Argentina may have a direct impact on our prices and sales. </w:t>
      </w:r>
    </w:p>
    <w:p w:rsidR="00000000" w:rsidRDefault="003E5AFF">
      <w:pPr>
        <w:pStyle w:val="NormalWeb"/>
        <w:spacing w:before="120" w:beforeAutospacing="0" w:after="0" w:afterAutospacing="0"/>
      </w:pPr>
      <w:r>
        <w:rPr>
          <w:rFonts w:ascii="Arial" w:hAnsi="Arial" w:cs="Arial"/>
        </w:rPr>
        <w:t xml:space="preserve">The Argentine government has in the past set certain industry market conditions and prices. In March </w:t>
      </w:r>
      <w:r>
        <w:rPr>
          <w:rFonts w:ascii="Arial" w:hAnsi="Arial" w:cs="Arial"/>
        </w:rPr>
        <w:t>2002, the Argentine government fixed the price for milk after a conflict among producers and the government. We cannot assure you that the Argentine government will not interfere in other areas by setting prices or regulating other market conditions. Accor</w:t>
      </w:r>
      <w:r>
        <w:rPr>
          <w:rFonts w:ascii="Arial" w:hAnsi="Arial" w:cs="Arial"/>
        </w:rPr>
        <w:t>dingly, we cannot assure you that we will be able to freely negotiate the prices of all our products in Argentina in the future or that the prices or other market conditions that the Argentine government might impose will allow us to freely negotiate the p</w:t>
      </w:r>
      <w:r>
        <w:rPr>
          <w:rFonts w:ascii="Arial" w:hAnsi="Arial" w:cs="Arial"/>
        </w:rPr>
        <w:t xml:space="preserve">rices of our products, which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Government measures to address economic and social unrest may adversely affect the Argentine economy and thereby have a material adverse effect on us. </w:t>
      </w:r>
    </w:p>
    <w:p w:rsidR="00000000" w:rsidRDefault="003E5AFF">
      <w:pPr>
        <w:pStyle w:val="NormalWeb"/>
        <w:spacing w:before="120" w:beforeAutospacing="0" w:after="0" w:afterAutospacing="0"/>
      </w:pPr>
      <w:r>
        <w:rPr>
          <w:rFonts w:ascii="Arial" w:hAnsi="Arial" w:cs="Arial"/>
        </w:rPr>
        <w:t xml:space="preserve">Despite the economic recovery </w:t>
      </w:r>
      <w:r>
        <w:rPr>
          <w:rFonts w:ascii="Arial" w:hAnsi="Arial" w:cs="Arial"/>
        </w:rPr>
        <w:t xml:space="preserve">and relative stabilization since 2003, social and political tensions and high levels of poverty and unemployment continue. Future government policies to preempt, or respond to, social unrest may include expropriation, nationalization, forced renegotiation </w:t>
      </w:r>
      <w:r>
        <w:rPr>
          <w:rFonts w:ascii="Arial" w:hAnsi="Arial" w:cs="Arial"/>
        </w:rPr>
        <w:t>or modification of existing contracts, suspension of the enforcement of creditors_ rights and shareholders_ rights, increase in export taxes, new taxation policies, including royalty and tax increases and retroactive tax claims, and changes in laws, regula</w:t>
      </w:r>
      <w:r>
        <w:rPr>
          <w:rFonts w:ascii="Arial" w:hAnsi="Arial" w:cs="Arial"/>
        </w:rPr>
        <w:t>tions and policies affecting foreign trade and investment. For example, on April 16, 2012, the Argentine government announced its intention to expropriate YPF, S.A. (_YPF_), the largest oil and gas company in Argentina, which is controlled by Repsol YPF, S</w:t>
      </w:r>
      <w:r>
        <w:rPr>
          <w:rFonts w:ascii="Arial" w:hAnsi="Arial" w:cs="Arial"/>
        </w:rPr>
        <w:t>.A., a Spanish integrated oil and gas company. On May 4, 2012 the Argentine Congress approved the expropriation of 51% of YPF_s capital stock. The nationalized capital stock would be distributed as follows: 49% to certain Argentine provinces and the remain</w:t>
      </w:r>
      <w:r>
        <w:rPr>
          <w:rFonts w:ascii="Arial" w:hAnsi="Arial" w:cs="Arial"/>
        </w:rPr>
        <w:t xml:space="preserve">ing 51% to the national government. These policies could destabilize the country, both socially and politically, and have a material adverse effect on the Argentine economy and other Latin American economies and, consequently, on 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- 44 - </w:t>
      </w:r>
    </w:p>
    <w:p w:rsidR="00000000" w:rsidRDefault="003E5AFF">
      <w:pPr>
        <w:rPr>
          <w:rFonts w:eastAsia="Times New Roman" w:cs="Times New Roman"/>
        </w:rPr>
      </w:pPr>
      <w:r>
        <w:rPr>
          <w:rFonts w:eastAsia="Times New Roman" w:cs="Times New Roman"/>
        </w:rPr>
        <w:pict>
          <v:rect id="_x0000_i1078" style="width:441.9pt;height:3pt" o:hralign="center" o:hrstd="t" o:hrnoshade="t" o:hr="t" fillcolor="#999" stroked="f"/>
        </w:pict>
      </w:r>
    </w:p>
    <w:p w:rsidR="00000000" w:rsidRDefault="003E5AFF">
      <w:pPr>
        <w:pStyle w:val="Heading5"/>
        <w:rPr>
          <w:rFonts w:eastAsia="Times New Roman" w:cs="Times New Roman"/>
        </w:rPr>
      </w:pPr>
      <w:hyperlink r:id="rId9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The Argentine government may order salary increases to be paid to employees in the private sector, </w:t>
      </w:r>
      <w:r>
        <w:rPr>
          <w:rFonts w:ascii="Arial" w:hAnsi="Arial" w:cs="Arial"/>
          <w:b/>
          <w:bCs/>
          <w:i/>
          <w:iCs/>
        </w:rPr>
        <w:t xml:space="preserve">which would increase our operating costs. </w:t>
      </w:r>
    </w:p>
    <w:p w:rsidR="00000000" w:rsidRDefault="003E5AFF">
      <w:pPr>
        <w:pStyle w:val="NormalWeb"/>
        <w:spacing w:before="120" w:beforeAutospacing="0" w:after="0" w:afterAutospacing="0"/>
      </w:pPr>
      <w:r>
        <w:rPr>
          <w:rFonts w:ascii="Arial" w:hAnsi="Arial" w:cs="Arial"/>
        </w:rPr>
        <w:t>In the past, the Argentine government has passed laws, regulations and decrees requiring companies in the private sector to maintain minimum wage levels and provide specified benefits to employees and may do so ag</w:t>
      </w:r>
      <w:r>
        <w:rPr>
          <w:rFonts w:ascii="Arial" w:hAnsi="Arial" w:cs="Arial"/>
        </w:rPr>
        <w:t>ain in the future. In the aftermath of the Argentine economic crisis, employers both in the public and private sectors have experienced significant pressure from their employees, unions and labor organizations to increase wages and to provide additional em</w:t>
      </w:r>
      <w:r>
        <w:rPr>
          <w:rFonts w:ascii="Arial" w:hAnsi="Arial" w:cs="Arial"/>
        </w:rPr>
        <w:t>ployee benefits. Due to the high levels of inflation, the employees and labor organizations have begun again demanding significant wage increases. It is possible that the Argentine government could adopt measures mandating salary increases and/or the provi</w:t>
      </w:r>
      <w:r>
        <w:rPr>
          <w:rFonts w:ascii="Arial" w:hAnsi="Arial" w:cs="Arial"/>
        </w:rPr>
        <w:t xml:space="preserve">sion of additional employee benefits, including mandatory profit sharing, in the future. Any such measures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Argentine lease laws impose restrictions that limit our flexibility. </w:t>
      </w:r>
    </w:p>
    <w:p w:rsidR="00000000" w:rsidRDefault="003E5AFF">
      <w:pPr>
        <w:pStyle w:val="NormalWeb"/>
        <w:spacing w:before="120" w:beforeAutospacing="0" w:after="0" w:afterAutospacing="0"/>
      </w:pPr>
      <w:r>
        <w:rPr>
          <w:rFonts w:ascii="Arial" w:hAnsi="Arial" w:cs="Arial"/>
        </w:rPr>
        <w:t>Argentine laws governing leases im</w:t>
      </w:r>
      <w:r>
        <w:rPr>
          <w:rFonts w:ascii="Arial" w:hAnsi="Arial" w:cs="Arial"/>
        </w:rPr>
        <w:t>pose certain restrictions, including prohibition of inflation adjustment clauses, mandatory minimum and maximum duration, and statutory tenants_ rights to rescind commercial lease agreements after the initial six months. These restrictions could have a mat</w:t>
      </w:r>
      <w:r>
        <w:rPr>
          <w:rFonts w:ascii="Arial" w:hAnsi="Arial" w:cs="Arial"/>
        </w:rPr>
        <w:t xml:space="preserve">erial adverse effect on our Argentine operations. </w:t>
      </w:r>
    </w:p>
    <w:p w:rsidR="00000000" w:rsidRDefault="003E5AFF">
      <w:pPr>
        <w:pStyle w:val="NormalWeb"/>
        <w:spacing w:before="120" w:beforeAutospacing="0" w:after="0" w:afterAutospacing="0"/>
      </w:pPr>
      <w:r>
        <w:rPr>
          <w:rFonts w:ascii="Arial" w:hAnsi="Arial" w:cs="Arial"/>
        </w:rPr>
        <w:t>In the past, in response to housing shortages, high rates of inflation and difficulties in obtaining credit, the Argentine government imposed more strict and burdensome regulations regarding leases. Such r</w:t>
      </w:r>
      <w:r>
        <w:rPr>
          <w:rFonts w:ascii="Arial" w:hAnsi="Arial" w:cs="Arial"/>
        </w:rPr>
        <w:t>egulations limited or prohibited increases on rental prices and prohibited eviction of tenants, even for failure to pay rent. We cannot assure you that the Argentine government will not impose similar or more stringent regulations in the future, any of whi</w:t>
      </w:r>
      <w:r>
        <w:rPr>
          <w:rFonts w:ascii="Arial" w:hAnsi="Arial" w:cs="Arial"/>
        </w:rPr>
        <w:t xml:space="preserve">ch could have a material and adverse effect on us. </w:t>
      </w:r>
    </w:p>
    <w:p w:rsidR="00000000" w:rsidRDefault="003E5AFF">
      <w:pPr>
        <w:pStyle w:val="NormalWeb"/>
        <w:spacing w:before="120" w:beforeAutospacing="0" w:after="0" w:afterAutospacing="0"/>
      </w:pPr>
      <w:r>
        <w:rPr>
          <w:rFonts w:ascii="Arial" w:hAnsi="Arial" w:cs="Arial"/>
          <w:b/>
          <w:bCs/>
          <w:i/>
          <w:iCs/>
        </w:rPr>
        <w:t xml:space="preserve">Exchange controls could restrict the inflow and outflow of funds in Argentina and have a material adverse effect on us. </w:t>
      </w:r>
    </w:p>
    <w:p w:rsidR="00000000" w:rsidRDefault="003E5AFF">
      <w:pPr>
        <w:pStyle w:val="NormalWeb"/>
        <w:spacing w:before="120" w:beforeAutospacing="0" w:after="0" w:afterAutospacing="0"/>
      </w:pPr>
      <w:r>
        <w:rPr>
          <w:rFonts w:ascii="Arial" w:hAnsi="Arial" w:cs="Arial"/>
        </w:rPr>
        <w:t>In 2001 and 2002, the Argentine government implemented a number of monetary and cur</w:t>
      </w:r>
      <w:r>
        <w:rPr>
          <w:rFonts w:ascii="Arial" w:hAnsi="Arial" w:cs="Arial"/>
        </w:rPr>
        <w:t>rency exchange control measures that included restrictions on the withdrawal of funds deposited with banks and stringent restrictions on the outflow of foreign currency from Argentina, including funds for purposes of paying principal and interest on debt a</w:t>
      </w:r>
      <w:r>
        <w:rPr>
          <w:rFonts w:ascii="Arial" w:hAnsi="Arial" w:cs="Arial"/>
        </w:rPr>
        <w:t xml:space="preserve">nd distributing dividends. </w:t>
      </w:r>
    </w:p>
    <w:p w:rsidR="00000000" w:rsidRDefault="003E5AFF">
      <w:pPr>
        <w:pStyle w:val="NormalWeb"/>
        <w:spacing w:before="120" w:beforeAutospacing="0" w:after="0" w:afterAutospacing="0"/>
      </w:pPr>
      <w:r>
        <w:rPr>
          <w:rFonts w:ascii="Arial" w:hAnsi="Arial" w:cs="Arial"/>
        </w:rPr>
        <w:t xml:space="preserve">Although many of these restrictions have been eased in some respects, some restrictions on transfer of funds from Argentina (e.g., to make payments of principal and interest) still remain in effect and other controls on capital </w:t>
      </w:r>
      <w:r>
        <w:rPr>
          <w:rFonts w:ascii="Arial" w:hAnsi="Arial" w:cs="Arial"/>
        </w:rPr>
        <w:t>inflows have been established. Further, similar or new restrictions relating to the purchase of foreign currency and its transfer abroad for the payment of dividends, which were significantly eased in 2003, could be reinstated in the future. If that were t</w:t>
      </w:r>
      <w:r>
        <w:rPr>
          <w:rFonts w:ascii="Arial" w:hAnsi="Arial" w:cs="Arial"/>
        </w:rPr>
        <w:t>o occur, we may default in the payment of external debt obligations from Argentina, we may not be able to fund and/or finance our operations in Argentina, or we may not be able to distribute dividends from Argentina, which could have a material adverse eff</w:t>
      </w:r>
      <w:r>
        <w:rPr>
          <w:rFonts w:ascii="Arial" w:hAnsi="Arial" w:cs="Arial"/>
        </w:rPr>
        <w:t xml:space="preserve">ect on us. </w:t>
      </w:r>
    </w:p>
    <w:p w:rsidR="00000000" w:rsidRDefault="003E5AFF">
      <w:pPr>
        <w:pStyle w:val="NormalWeb"/>
        <w:spacing w:before="120" w:beforeAutospacing="0" w:after="0" w:afterAutospacing="0"/>
      </w:pPr>
      <w:r>
        <w:rPr>
          <w:rFonts w:ascii="Arial" w:hAnsi="Arial" w:cs="Arial"/>
        </w:rPr>
        <w:t>In addition, pursuant to Resolutions AFIP N_ 3210/2011 and N_ 3212/2011 and Communication _A_ 5245, enacted in late 2011, prior to authorizing the sale of foreign currency to make portfolio investments abroad or similar investments, the local b</w:t>
      </w:r>
      <w:r>
        <w:rPr>
          <w:rFonts w:ascii="Arial" w:hAnsi="Arial" w:cs="Arial"/>
        </w:rPr>
        <w:t xml:space="preserve">ank must obtain prior clearance from an online database run by the federal tax authority (AFIP). This database must confirm whether an individual or entity has sufficient declared assets or funds to make the purchase of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- 45 - </w:t>
      </w:r>
    </w:p>
    <w:p w:rsidR="00000000" w:rsidRDefault="003E5AFF">
      <w:pPr>
        <w:rPr>
          <w:rFonts w:eastAsia="Times New Roman" w:cs="Times New Roman"/>
        </w:rPr>
      </w:pPr>
      <w:r>
        <w:rPr>
          <w:rFonts w:eastAsia="Times New Roman" w:cs="Times New Roman"/>
        </w:rPr>
        <w:pict>
          <v:rect id="_x0000_i1079" style="width:441.9pt;height:3pt" o:hralign="center" o:hrstd="t" o:hrnoshade="t" o:hr="t" fillcolor="#999" stroked="f"/>
        </w:pict>
      </w:r>
    </w:p>
    <w:p w:rsidR="00000000" w:rsidRDefault="003E5AFF">
      <w:pPr>
        <w:pStyle w:val="Heading5"/>
        <w:rPr>
          <w:rFonts w:eastAsia="Times New Roman" w:cs="Times New Roman"/>
        </w:rPr>
      </w:pPr>
      <w:hyperlink r:id="rId9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foreign currency. In the event that declared assets or funds are not sufficient, the bank may not sell foreign currency to such individual or entity. However, the regulations </w:t>
      </w:r>
      <w:r>
        <w:rPr>
          <w:rFonts w:ascii="Arial" w:hAnsi="Arial" w:cs="Arial"/>
        </w:rPr>
        <w:t>fail to explain how this calculation is carried out. This requirement may affect the ability of our Argentine subsidiaries to make or manage their foreign currency investments or to transfer funds abroad, which represented 28.9% of our revenues for 2011 an</w:t>
      </w:r>
      <w:r>
        <w:rPr>
          <w:rFonts w:ascii="Arial" w:hAnsi="Arial" w:cs="Arial"/>
        </w:rPr>
        <w:t xml:space="preserve">d 27.7% for the three month period ended March 31, 2012. </w:t>
      </w:r>
    </w:p>
    <w:p w:rsidR="00000000" w:rsidRDefault="003E5AFF">
      <w:pPr>
        <w:pStyle w:val="NormalWeb"/>
        <w:spacing w:before="240" w:beforeAutospacing="0" w:after="0" w:afterAutospacing="0"/>
      </w:pPr>
      <w:r>
        <w:rPr>
          <w:rFonts w:ascii="Arial" w:hAnsi="Arial" w:cs="Arial"/>
          <w:b/>
          <w:bCs/>
          <w:sz w:val="24"/>
          <w:szCs w:val="24"/>
        </w:rPr>
        <w:t xml:space="preserve">Risks related to Brazil </w:t>
      </w:r>
    </w:p>
    <w:p w:rsidR="00000000" w:rsidRDefault="003E5AFF">
      <w:pPr>
        <w:pStyle w:val="NormalWeb"/>
        <w:spacing w:before="120" w:beforeAutospacing="0" w:after="0" w:afterAutospacing="0"/>
      </w:pPr>
      <w:r>
        <w:rPr>
          <w:rFonts w:ascii="Arial" w:hAnsi="Arial" w:cs="Arial"/>
          <w:b/>
          <w:bCs/>
          <w:i/>
          <w:iCs/>
        </w:rPr>
        <w:t>Brazilian economic and political conditions and perceptions of these conditions in international markets have a direct impact on our business and our access to international</w:t>
      </w:r>
      <w:r>
        <w:rPr>
          <w:rFonts w:ascii="Arial" w:hAnsi="Arial" w:cs="Arial"/>
          <w:b/>
          <w:bCs/>
          <w:i/>
          <w:iCs/>
        </w:rPr>
        <w:t xml:space="preserve"> capital and debt markets and could have a material adverse effect on us. </w:t>
      </w:r>
    </w:p>
    <w:p w:rsidR="00000000" w:rsidRDefault="003E5AFF">
      <w:pPr>
        <w:pStyle w:val="NormalWeb"/>
        <w:spacing w:before="120" w:beforeAutospacing="0" w:after="0" w:afterAutospacing="0"/>
      </w:pPr>
      <w:r>
        <w:rPr>
          <w:rFonts w:ascii="Arial" w:hAnsi="Arial" w:cs="Arial"/>
        </w:rPr>
        <w:t xml:space="preserve">At March 31, 2012 and in the years ended December 31, 2011 and 2010, our operations in Brazil </w:t>
      </w:r>
      <w:r>
        <w:rPr>
          <w:rFonts w:ascii="Arial" w:hAnsi="Arial" w:cs="Arial"/>
        </w:rPr>
        <w:t>represented 25.5%, 20.5% and 13.6% of our consolidated revenues from ordinary activities for such periods, respectively. These percentages, however, will increase in future periods when our Prezunic operations are fully integrated. Accordingly, our financi</w:t>
      </w:r>
      <w:r>
        <w:rPr>
          <w:rFonts w:ascii="Arial" w:hAnsi="Arial" w:cs="Arial"/>
        </w:rPr>
        <w:t>al condition and results of operations are dependent on economic conditions in Brazil. The Brazilian economy has experienced significant volatility in recent decades, characterized by periods of low or negative growth, high and variable levels of inflation</w:t>
      </w:r>
      <w:r>
        <w:rPr>
          <w:rFonts w:ascii="Arial" w:hAnsi="Arial" w:cs="Arial"/>
        </w:rPr>
        <w:t xml:space="preserve"> and currency devaluation. Brazil_s gross domestic product, in real terms, grew by 6.1% in 2007, 5.2% in 2008, decreased 0.3% in 2009, grew 7.5% in 2010 and 2.9% in 2011, according to the Central Bank of Brazil. We cannot assure you that GDP will increase </w:t>
      </w:r>
      <w:r>
        <w:rPr>
          <w:rFonts w:ascii="Arial" w:hAnsi="Arial" w:cs="Arial"/>
        </w:rPr>
        <w:t xml:space="preserve">or remain stable in the future. Future developments in the Brazilian economy may affect Brazil_s growth rates and, consequently, the consumption of our products. As a result, these developments could have a material adverse effect on us. </w:t>
      </w:r>
    </w:p>
    <w:p w:rsidR="00000000" w:rsidRDefault="003E5AFF">
      <w:pPr>
        <w:pStyle w:val="NormalWeb"/>
        <w:spacing w:before="120" w:beforeAutospacing="0" w:after="0" w:afterAutospacing="0"/>
      </w:pPr>
      <w:r>
        <w:rPr>
          <w:rFonts w:ascii="Arial" w:hAnsi="Arial" w:cs="Arial"/>
        </w:rPr>
        <w:t>Historically, Bra</w:t>
      </w:r>
      <w:r>
        <w:rPr>
          <w:rFonts w:ascii="Arial" w:hAnsi="Arial" w:cs="Arial"/>
        </w:rPr>
        <w:t>zil_s political situation has influenced the performance of the Brazilian economy, and political crises have affected the confidence of investors and the general public, which resulted in economic deceleration and heightened volatility in the securities is</w:t>
      </w:r>
      <w:r>
        <w:rPr>
          <w:rFonts w:ascii="Arial" w:hAnsi="Arial" w:cs="Arial"/>
        </w:rPr>
        <w:t xml:space="preserve">sued abroad by Brazilian companies. Future developments in policies of the Brazilian government and/or the uncertainty of whether and when such policies and regulations may be implemented, all of which are beyond our control, could have a material adverse </w:t>
      </w:r>
      <w:r>
        <w:rPr>
          <w:rFonts w:ascii="Arial" w:hAnsi="Arial" w:cs="Arial"/>
        </w:rPr>
        <w:t xml:space="preserve">effect on us. </w:t>
      </w:r>
    </w:p>
    <w:p w:rsidR="00000000" w:rsidRDefault="003E5AFF">
      <w:pPr>
        <w:pStyle w:val="NormalWeb"/>
        <w:spacing w:before="120" w:beforeAutospacing="0" w:after="0" w:afterAutospacing="0"/>
      </w:pPr>
      <w:r>
        <w:rPr>
          <w:rFonts w:ascii="Arial" w:hAnsi="Arial" w:cs="Arial"/>
          <w:b/>
          <w:bCs/>
          <w:i/>
          <w:iCs/>
        </w:rPr>
        <w:t xml:space="preserve">Changes in Brazilian tax laws may increase our tax burden. </w:t>
      </w:r>
    </w:p>
    <w:p w:rsidR="00000000" w:rsidRDefault="003E5AFF">
      <w:pPr>
        <w:pStyle w:val="NormalWeb"/>
        <w:spacing w:before="120" w:beforeAutospacing="0" w:after="0" w:afterAutospacing="0"/>
      </w:pPr>
      <w:r>
        <w:rPr>
          <w:rFonts w:ascii="Arial" w:hAnsi="Arial" w:cs="Arial"/>
        </w:rPr>
        <w:t xml:space="preserve">The Brazilian government frequently implements changes to tax regimes that may affect us and our customers. These changes include changes in prevailing tax rates and, occasionally, </w:t>
      </w:r>
      <w:r>
        <w:rPr>
          <w:rFonts w:ascii="Arial" w:hAnsi="Arial" w:cs="Arial"/>
        </w:rPr>
        <w:t>enactment of temporary taxes, the proceeds of which are earmarked for designated governmental purposes. Some of these changes may result in increases in our tax payments, which could adversely affect industry profitability and increase the prices of our pr</w:t>
      </w:r>
      <w:r>
        <w:rPr>
          <w:rFonts w:ascii="Arial" w:hAnsi="Arial" w:cs="Arial"/>
        </w:rPr>
        <w:t>oducts, restrict our ability to do business in our existing and target markets and have a material adverse effect on us. We cannot assure you that we will be able to maintain our projected cash flow and profitability following any increases in Brazilian ta</w:t>
      </w:r>
      <w:r>
        <w:rPr>
          <w:rFonts w:ascii="Arial" w:hAnsi="Arial" w:cs="Arial"/>
        </w:rPr>
        <w:t xml:space="preserve">xes applicable to us. </w:t>
      </w:r>
    </w:p>
    <w:p w:rsidR="00000000" w:rsidRDefault="003E5AFF">
      <w:pPr>
        <w:pStyle w:val="NormalWeb"/>
        <w:spacing w:before="120" w:beforeAutospacing="0" w:after="0" w:afterAutospacing="0"/>
      </w:pPr>
      <w:r>
        <w:rPr>
          <w:rFonts w:ascii="Arial" w:hAnsi="Arial" w:cs="Arial"/>
          <w:b/>
          <w:bCs/>
          <w:i/>
          <w:iCs/>
        </w:rPr>
        <w:t xml:space="preserve">The Brazilian government has exercised, and continues to exercise, significant influence over the Brazilian economy. </w:t>
      </w:r>
    </w:p>
    <w:p w:rsidR="00000000" w:rsidRDefault="003E5AFF">
      <w:pPr>
        <w:pStyle w:val="NormalWeb"/>
        <w:spacing w:before="120" w:beforeAutospacing="0" w:after="0" w:afterAutospacing="0"/>
      </w:pPr>
      <w:r>
        <w:rPr>
          <w:rFonts w:ascii="Arial" w:hAnsi="Arial" w:cs="Arial"/>
        </w:rPr>
        <w:t xml:space="preserve">The Brazilian government frequently intervenes in the Brazilian economy and occasionally makes significant changes </w:t>
      </w:r>
      <w:r>
        <w:rPr>
          <w:rFonts w:ascii="Arial" w:hAnsi="Arial" w:cs="Arial"/>
        </w:rPr>
        <w:t xml:space="preserve">in policies and regulations. The Brazilian government_s actions to control inflation and other policies and regulations have often involved, among other measures, increases in interest rates, changes in tax policies, price controls, currency devaluations, </w:t>
      </w:r>
      <w:r>
        <w:rPr>
          <w:rFonts w:ascii="Arial" w:hAnsi="Arial" w:cs="Arial"/>
        </w:rPr>
        <w:t xml:space="preserve">capital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- 46 - </w:t>
      </w:r>
    </w:p>
    <w:p w:rsidR="00000000" w:rsidRDefault="003E5AFF">
      <w:pPr>
        <w:rPr>
          <w:rFonts w:eastAsia="Times New Roman" w:cs="Times New Roman"/>
        </w:rPr>
      </w:pPr>
      <w:r>
        <w:rPr>
          <w:rFonts w:eastAsia="Times New Roman" w:cs="Times New Roman"/>
        </w:rPr>
        <w:pict>
          <v:rect id="_x0000_i1080" style="width:441.9pt;height:3pt" o:hralign="center" o:hrstd="t" o:hrnoshade="t" o:hr="t" fillcolor="#999" stroked="f"/>
        </w:pict>
      </w:r>
    </w:p>
    <w:p w:rsidR="00000000" w:rsidRDefault="003E5AFF">
      <w:pPr>
        <w:pStyle w:val="Heading5"/>
        <w:rPr>
          <w:rFonts w:eastAsia="Times New Roman" w:cs="Times New Roman"/>
        </w:rPr>
      </w:pPr>
      <w:hyperlink r:id="rId9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controls and limits on export and imports. We may be materially and adversely affected by changes in policies or regulations involving or affecting factors such as: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interest rates;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monetary policy;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exchange controls and restrictions on remittances abroad;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currency fluctuations;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inflation;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liquidity of domestic capital and financial markets;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tax policy; and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other political, social and economic policies or developments in or affecting Brazil. </w:t>
            </w:r>
          </w:p>
        </w:tc>
      </w:tr>
    </w:tbl>
    <w:p w:rsidR="00000000" w:rsidRDefault="003E5AFF">
      <w:pPr>
        <w:pStyle w:val="NormalWeb"/>
        <w:spacing w:before="120" w:beforeAutospacing="0" w:after="0" w:afterAutospacing="0"/>
      </w:pPr>
      <w:r>
        <w:rPr>
          <w:rFonts w:ascii="Arial" w:hAnsi="Arial" w:cs="Arial"/>
        </w:rPr>
        <w:t>Uncertainty over whether the Brazilian government will implement changes in policies or regulations affecting these or other factors in the future may contribute to econ</w:t>
      </w:r>
      <w:r>
        <w:rPr>
          <w:rFonts w:ascii="Arial" w:hAnsi="Arial" w:cs="Arial"/>
        </w:rPr>
        <w:t xml:space="preserve">omic uncertainty in Brazil. As a result, these uncertainties and other future developments in the Brazilian economy may have a material adverse effect on us. </w:t>
      </w:r>
    </w:p>
    <w:p w:rsidR="00000000" w:rsidRDefault="003E5AFF">
      <w:pPr>
        <w:pStyle w:val="NormalWeb"/>
        <w:spacing w:before="120" w:beforeAutospacing="0" w:after="0" w:afterAutospacing="0"/>
      </w:pPr>
      <w:r>
        <w:rPr>
          <w:rFonts w:ascii="Arial" w:hAnsi="Arial" w:cs="Arial"/>
          <w:b/>
          <w:bCs/>
          <w:i/>
          <w:iCs/>
        </w:rPr>
        <w:t>Inflation, and the Brazilian government_s measures to combat inflation, may generate economic unc</w:t>
      </w:r>
      <w:r>
        <w:rPr>
          <w:rFonts w:ascii="Arial" w:hAnsi="Arial" w:cs="Arial"/>
          <w:b/>
          <w:bCs/>
          <w:i/>
          <w:iCs/>
        </w:rPr>
        <w:t xml:space="preserve">ertainty in Brazil. </w:t>
      </w:r>
    </w:p>
    <w:p w:rsidR="00000000" w:rsidRDefault="003E5AFF">
      <w:pPr>
        <w:pStyle w:val="NormalWeb"/>
        <w:spacing w:before="120" w:beforeAutospacing="0" w:after="0" w:afterAutospacing="0"/>
      </w:pPr>
      <w:r>
        <w:rPr>
          <w:rFonts w:ascii="Arial" w:hAnsi="Arial" w:cs="Arial"/>
        </w:rPr>
        <w:t>Brazil has historically experienced high rates of inflation. In the recent past, inflation, as well as government efforts to combat inflation, have had significant negative effects on the Brazilian economy and contributed to heightened</w:t>
      </w:r>
      <w:r>
        <w:rPr>
          <w:rFonts w:ascii="Arial" w:hAnsi="Arial" w:cs="Arial"/>
        </w:rPr>
        <w:t xml:space="preserve"> volatility in the Brazilian securities market. The Brazilian government_s measures to control inflation have often included maintaining a tight monetary policy with high interest rates, thereby restricting the availability of credit and reducing economic </w:t>
      </w:r>
      <w:r>
        <w:rPr>
          <w:rFonts w:ascii="Arial" w:hAnsi="Arial" w:cs="Arial"/>
        </w:rPr>
        <w:t>growth. As a result, interest rates have fluctuated significantly. The Special System for Settlement and Custody (</w:t>
      </w:r>
      <w:r>
        <w:rPr>
          <w:rFonts w:ascii="Arial" w:hAnsi="Arial" w:cs="Arial"/>
          <w:i/>
          <w:iCs/>
        </w:rPr>
        <w:t>Sistema Especial de Liquida?_o e Cust_dia</w:t>
      </w:r>
      <w:r>
        <w:rPr>
          <w:rFonts w:ascii="Arial" w:hAnsi="Arial" w:cs="Arial"/>
        </w:rPr>
        <w:t>, or _SELIC_) interest rate in Brazil at December 31 was 13.75% in 2008, 8.75% in 2009, 10.75% in 201</w:t>
      </w:r>
      <w:r>
        <w:rPr>
          <w:rFonts w:ascii="Arial" w:hAnsi="Arial" w:cs="Arial"/>
        </w:rPr>
        <w:t>0</w:t>
      </w:r>
      <w:r>
        <w:rPr>
          <w:rFonts w:ascii="Arial" w:hAnsi="Arial" w:cs="Arial"/>
          <w:u w:val="single"/>
        </w:rPr>
        <w:t>,</w:t>
      </w:r>
      <w:r>
        <w:rPr>
          <w:rFonts w:ascii="Arial" w:hAnsi="Arial" w:cs="Arial"/>
        </w:rPr>
        <w:t xml:space="preserve"> 11.0% in 2011 and 9.75% for the three months ended March 31, 2012, as determined by the Central Bank of Brazil_s Monetary Policy Committee (</w:t>
      </w:r>
      <w:r>
        <w:rPr>
          <w:rFonts w:ascii="Arial" w:hAnsi="Arial" w:cs="Arial"/>
          <w:i/>
          <w:iCs/>
        </w:rPr>
        <w:t>Comit_ de Pol_tica Monet_ria do Banco Central</w:t>
      </w:r>
      <w:r>
        <w:rPr>
          <w:rFonts w:ascii="Arial" w:hAnsi="Arial" w:cs="Arial"/>
        </w:rPr>
        <w:t xml:space="preserve">). </w:t>
      </w:r>
    </w:p>
    <w:p w:rsidR="00000000" w:rsidRDefault="003E5AFF">
      <w:pPr>
        <w:pStyle w:val="NormalWeb"/>
        <w:spacing w:before="120" w:beforeAutospacing="0" w:after="0" w:afterAutospacing="0"/>
      </w:pPr>
      <w:r>
        <w:rPr>
          <w:rFonts w:ascii="Arial" w:hAnsi="Arial" w:cs="Arial"/>
        </w:rPr>
        <w:t>Brazilian government actions, including interest rate changes, i</w:t>
      </w:r>
      <w:r>
        <w:rPr>
          <w:rFonts w:ascii="Arial" w:hAnsi="Arial" w:cs="Arial"/>
        </w:rPr>
        <w:t>ntervention in the foreign exchange market, fiscal policy expansion and actions to adjust or fix the value of the Real, may trigger increases in inflation. If Brazil experiences substantial inflation in the future, the consequences may include greater econ</w:t>
      </w:r>
      <w:r>
        <w:rPr>
          <w:rFonts w:ascii="Arial" w:hAnsi="Arial" w:cs="Arial"/>
        </w:rPr>
        <w:t xml:space="preserve">omic uncertainty and increased costs for us, which may have a material adverse effect on us. </w:t>
      </w:r>
    </w:p>
    <w:p w:rsidR="00000000" w:rsidRDefault="003E5AFF">
      <w:pPr>
        <w:pStyle w:val="NormalWeb"/>
        <w:spacing w:before="120" w:beforeAutospacing="0" w:after="0" w:afterAutospacing="0"/>
      </w:pPr>
      <w:r>
        <w:rPr>
          <w:rFonts w:ascii="Arial" w:hAnsi="Arial" w:cs="Arial"/>
        </w:rPr>
        <w:t>Furthermore, we currently owe an aggregate amount of R$250 million in connection with our acquisition of Bretas that is indexed to inflation in Brazil. In additio</w:t>
      </w:r>
      <w:r>
        <w:rPr>
          <w:rFonts w:ascii="Arial" w:hAnsi="Arial" w:cs="Arial"/>
        </w:rPr>
        <w:t>n, we also owe an aggregate amount of R$295 million in connection with our acquisition of Prezunic that is indexed to inflation in Brazil. If our cash generation in local currency does not grow in line with inflation, our capacity to pay for these obligati</w:t>
      </w:r>
      <w:r>
        <w:rPr>
          <w:rFonts w:ascii="Arial" w:hAnsi="Arial" w:cs="Arial"/>
        </w:rPr>
        <w:t xml:space="preserve">ons may be negatively affected. </w:t>
      </w:r>
    </w:p>
    <w:p w:rsidR="00000000" w:rsidRDefault="003E5AFF">
      <w:pPr>
        <w:pStyle w:val="NormalWeb"/>
        <w:spacing w:before="120" w:beforeAutospacing="0" w:after="0" w:afterAutospacing="0"/>
      </w:pPr>
      <w:r>
        <w:rPr>
          <w:rFonts w:ascii="Arial" w:hAnsi="Arial" w:cs="Arial"/>
          <w:b/>
          <w:bCs/>
          <w:i/>
          <w:iCs/>
        </w:rPr>
        <w:t xml:space="preserve">Exchange rate instability may adversely affect the Brazilian economy and us. </w:t>
      </w:r>
    </w:p>
    <w:p w:rsidR="00000000" w:rsidRDefault="003E5AFF">
      <w:pPr>
        <w:pStyle w:val="NormalWeb"/>
        <w:spacing w:before="120" w:beforeAutospacing="0" w:after="0" w:afterAutospacing="0"/>
      </w:pPr>
      <w:r>
        <w:rPr>
          <w:rFonts w:ascii="Arial" w:hAnsi="Arial" w:cs="Arial"/>
        </w:rPr>
        <w:t xml:space="preserve">The Brazilian currency has historically suffered frequent fluctuations. In the past, the Brazilian government has implemented </w:t>
      </w:r>
      <w:r>
        <w:rPr>
          <w:rFonts w:ascii="Arial" w:hAnsi="Arial" w:cs="Arial"/>
        </w:rPr>
        <w:t>various economic plans and adopted a number of exchange rate policies, including sudden devaluations, periodic mini-devaluations (during which the frequency of adjustments has ranged from daily to monthly), floating exchange rate systems, exchange controls</w:t>
      </w:r>
      <w:r>
        <w:rPr>
          <w:rFonts w:ascii="Arial" w:hAnsi="Arial" w:cs="Arial"/>
        </w:rPr>
        <w:t xml:space="preserve"> and dual exchange rate markets. There have often been significant fluctuations in the exchange rate between the Brazilian currency, the U.S. dollar, the euro and other currencies.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- 47 - </w:t>
      </w:r>
    </w:p>
    <w:p w:rsidR="00000000" w:rsidRDefault="003E5AFF">
      <w:pPr>
        <w:rPr>
          <w:rFonts w:eastAsia="Times New Roman" w:cs="Times New Roman"/>
        </w:rPr>
      </w:pPr>
      <w:r>
        <w:rPr>
          <w:rFonts w:eastAsia="Times New Roman" w:cs="Times New Roman"/>
        </w:rPr>
        <w:pict>
          <v:rect id="_x0000_i1081" style="width:441.9pt;height:3pt" o:hralign="center" o:hrstd="t" o:hrnoshade="t" o:hr="t" fillcolor="#999" stroked="f"/>
        </w:pict>
      </w:r>
    </w:p>
    <w:p w:rsidR="00000000" w:rsidRDefault="003E5AFF">
      <w:pPr>
        <w:pStyle w:val="Heading5"/>
        <w:rPr>
          <w:rFonts w:eastAsia="Times New Roman" w:cs="Times New Roman"/>
        </w:rPr>
      </w:pPr>
      <w:hyperlink r:id="rId9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However, in the last four years, the Real depreciated (against the U.S. dollar) by 2.9%, from R$1.77 per U.S. dollar at December 31, 2007 to R$1.82 per U.S. dollar at March 31</w:t>
      </w:r>
      <w:r>
        <w:rPr>
          <w:rFonts w:ascii="Arial" w:hAnsi="Arial" w:cs="Arial"/>
        </w:rPr>
        <w:t>, 2012 (the latest available date, as December 31, 2011 fell on a non-business day), except in 2008 when it reached R$2.34 per U.S. dollar. This volatility may affect our consolidated financial statements, due to the growing importance of our Brazilian ope</w:t>
      </w:r>
      <w:r>
        <w:rPr>
          <w:rFonts w:ascii="Arial" w:hAnsi="Arial" w:cs="Arial"/>
        </w:rPr>
        <w:t xml:space="preserve">rations in our business portfolio, which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Our business in Brazil is subject to governmental regulation. </w:t>
      </w:r>
    </w:p>
    <w:p w:rsidR="00000000" w:rsidRDefault="003E5AFF">
      <w:pPr>
        <w:pStyle w:val="NormalWeb"/>
        <w:spacing w:before="120" w:beforeAutospacing="0" w:after="0" w:afterAutospacing="0"/>
      </w:pPr>
      <w:r>
        <w:rPr>
          <w:rFonts w:ascii="Arial" w:hAnsi="Arial" w:cs="Arial"/>
        </w:rPr>
        <w:t>Our Brazilian operations are subject to a variety of national, state, and local laws and regulations, inclu</w:t>
      </w:r>
      <w:r>
        <w:rPr>
          <w:rFonts w:ascii="Arial" w:hAnsi="Arial" w:cs="Arial"/>
        </w:rPr>
        <w:t>ding environmental, agricultural, health and safety and labor laws. We invest financial and managerial resources to comply with these laws and related permit requirements. Our failure to do so could subject us to fines or penalties, enforcement actions, cl</w:t>
      </w:r>
      <w:r>
        <w:rPr>
          <w:rFonts w:ascii="Arial" w:hAnsi="Arial" w:cs="Arial"/>
        </w:rPr>
        <w:t>aims for personal injury or property damages, or obligations to investigate and/or remediate damage or injury. Moreover, if applicable laws and regulations, or the interpretation or enforcement thereof, become more stringent in the future, our capital or o</w:t>
      </w:r>
      <w:r>
        <w:rPr>
          <w:rFonts w:ascii="Arial" w:hAnsi="Arial" w:cs="Arial"/>
        </w:rPr>
        <w:t xml:space="preserve">perating costs could increase beyond what we currently anticipate, and the process of obtaining or renewing licenses for our activities could be hindered or even opposed by the competent authorities. </w:t>
      </w:r>
    </w:p>
    <w:p w:rsidR="00000000" w:rsidRDefault="003E5AFF">
      <w:pPr>
        <w:pStyle w:val="NormalWeb"/>
        <w:spacing w:before="240" w:beforeAutospacing="0" w:after="0" w:afterAutospacing="0"/>
      </w:pPr>
      <w:r>
        <w:rPr>
          <w:rFonts w:ascii="Arial" w:hAnsi="Arial" w:cs="Arial"/>
          <w:b/>
          <w:bCs/>
          <w:sz w:val="24"/>
          <w:szCs w:val="24"/>
        </w:rPr>
        <w:t xml:space="preserve">Risks related to Peru </w:t>
      </w:r>
    </w:p>
    <w:p w:rsidR="00000000" w:rsidRDefault="003E5AFF">
      <w:pPr>
        <w:pStyle w:val="NormalWeb"/>
        <w:spacing w:before="120" w:beforeAutospacing="0" w:after="0" w:afterAutospacing="0"/>
      </w:pPr>
      <w:r>
        <w:rPr>
          <w:rFonts w:ascii="Arial" w:hAnsi="Arial" w:cs="Arial"/>
          <w:b/>
          <w:bCs/>
          <w:i/>
          <w:iCs/>
        </w:rPr>
        <w:t xml:space="preserve">Economic, social and political </w:t>
      </w:r>
      <w:r>
        <w:rPr>
          <w:rFonts w:ascii="Arial" w:hAnsi="Arial" w:cs="Arial"/>
          <w:b/>
          <w:bCs/>
          <w:i/>
          <w:iCs/>
        </w:rPr>
        <w:t xml:space="preserve">developments in Peru, including political instability, inflation and unemployment, could have a material adverse effect on us. </w:t>
      </w:r>
    </w:p>
    <w:p w:rsidR="00000000" w:rsidRDefault="003E5AFF">
      <w:pPr>
        <w:pStyle w:val="NormalWeb"/>
        <w:spacing w:before="120" w:beforeAutospacing="0" w:after="0" w:afterAutospacing="0"/>
      </w:pPr>
      <w:r>
        <w:rPr>
          <w:rFonts w:ascii="Arial" w:hAnsi="Arial" w:cs="Arial"/>
        </w:rPr>
        <w:t>During the three months ended March 31, 2012, operations in Peru generated revenues from ordinary activities representing 8.0% o</w:t>
      </w:r>
      <w:r>
        <w:rPr>
          <w:rFonts w:ascii="Arial" w:hAnsi="Arial" w:cs="Arial"/>
        </w:rPr>
        <w:t>f our consolidated revenues from ordinary activities. Our results of operations and financial condition may be affected by changes in economic and other policies of the Peruvian government, which has exercised and continues to exercise substantial influenc</w:t>
      </w:r>
      <w:r>
        <w:rPr>
          <w:rFonts w:ascii="Arial" w:hAnsi="Arial" w:cs="Arial"/>
        </w:rPr>
        <w:t>e over many aspects of the private sector, and by other economic, social and political developments in Peru, including devaluation, currency exchange controls and economic growth. Previous Peruvian governments have imposed controls on prices, exchange rate</w:t>
      </w:r>
      <w:r>
        <w:rPr>
          <w:rFonts w:ascii="Arial" w:hAnsi="Arial" w:cs="Arial"/>
        </w:rPr>
        <w:t>s, local and foreign investment and international trade, restricted the ability of companies to dismiss employees, expropriated private sector assets and prohibited the remittance of profits to foreign investors. In the third quarter of 2011 the Peruvian e</w:t>
      </w:r>
      <w:r>
        <w:rPr>
          <w:rFonts w:ascii="Arial" w:hAnsi="Arial" w:cs="Arial"/>
        </w:rPr>
        <w:t xml:space="preserve">conomy started to show signs of slowdown driven by the uncertainty in connection with the election of President Humala and expectations of a recession in Europe and the United States. </w:t>
      </w:r>
    </w:p>
    <w:p w:rsidR="00000000" w:rsidRDefault="003E5AFF">
      <w:pPr>
        <w:pStyle w:val="NormalWeb"/>
        <w:spacing w:before="120" w:beforeAutospacing="0" w:after="0" w:afterAutospacing="0"/>
      </w:pPr>
      <w:r>
        <w:rPr>
          <w:rFonts w:ascii="Arial" w:hAnsi="Arial" w:cs="Arial"/>
        </w:rPr>
        <w:t>In the past, Peru has suffered through periods of high inflation, which</w:t>
      </w:r>
      <w:r>
        <w:rPr>
          <w:rFonts w:ascii="Arial" w:hAnsi="Arial" w:cs="Arial"/>
        </w:rPr>
        <w:t xml:space="preserve"> materially undermined the Peruvian economy and the government_s ability to create conditions that would support economic growth. A return to a high inflation environment would also undermine Peru_s foreign competitiveness, with negative effects on the lev</w:t>
      </w:r>
      <w:r>
        <w:rPr>
          <w:rFonts w:ascii="Arial" w:hAnsi="Arial" w:cs="Arial"/>
        </w:rPr>
        <w:t xml:space="preserve">el of economic activity and employment and on us. </w:t>
      </w:r>
    </w:p>
    <w:p w:rsidR="00000000" w:rsidRDefault="003E5AFF">
      <w:pPr>
        <w:pStyle w:val="NormalWeb"/>
        <w:spacing w:before="120" w:beforeAutospacing="0" w:after="0" w:afterAutospacing="0"/>
      </w:pPr>
      <w:r>
        <w:rPr>
          <w:rFonts w:ascii="Arial" w:hAnsi="Arial" w:cs="Arial"/>
          <w:b/>
          <w:bCs/>
          <w:i/>
          <w:iCs/>
        </w:rPr>
        <w:t xml:space="preserve">The newly elected Peruvian president may not maintain recent economic policies, which could have a material adverse effect on us. </w:t>
      </w:r>
    </w:p>
    <w:p w:rsidR="00000000" w:rsidRDefault="003E5AFF">
      <w:pPr>
        <w:pStyle w:val="NormalWeb"/>
        <w:spacing w:before="120" w:beforeAutospacing="0" w:after="0" w:afterAutospacing="0"/>
      </w:pPr>
      <w:r>
        <w:rPr>
          <w:rFonts w:ascii="Arial" w:hAnsi="Arial" w:cs="Arial"/>
        </w:rPr>
        <w:t>In July 2011, Ollanta Humala became president of Peru. The election of Pre</w:t>
      </w:r>
      <w:r>
        <w:rPr>
          <w:rFonts w:ascii="Arial" w:hAnsi="Arial" w:cs="Arial"/>
        </w:rPr>
        <w:t>sident Humala initially generated political and economic uncertainty. President Humala_s presidential campaign was based on a platform of poverty reduction and wealth redistribution by means of interventionist policies, although since his inauguration Pres</w:t>
      </w:r>
      <w:r>
        <w:rPr>
          <w:rFonts w:ascii="Arial" w:hAnsi="Arial" w:cs="Arial"/>
        </w:rPr>
        <w:t xml:space="preserve">ident Humala has taken steps indicating that his administration will focus on more centrist economic policies. For instance, the new administration ratified Julio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- 48 - </w:t>
      </w:r>
    </w:p>
    <w:p w:rsidR="00000000" w:rsidRDefault="003E5AFF">
      <w:pPr>
        <w:rPr>
          <w:rFonts w:eastAsia="Times New Roman" w:cs="Times New Roman"/>
        </w:rPr>
      </w:pPr>
      <w:r>
        <w:rPr>
          <w:rFonts w:eastAsia="Times New Roman" w:cs="Times New Roman"/>
        </w:rPr>
        <w:pict>
          <v:rect id="_x0000_i1082" style="width:441.9pt;height:3pt" o:hralign="center" o:hrstd="t" o:hrnoshade="t" o:hr="t" fillcolor="#999" stroked="f"/>
        </w:pict>
      </w:r>
    </w:p>
    <w:p w:rsidR="00000000" w:rsidRDefault="003E5AFF">
      <w:pPr>
        <w:pStyle w:val="Heading5"/>
        <w:rPr>
          <w:rFonts w:eastAsia="Times New Roman" w:cs="Times New Roman"/>
        </w:rPr>
      </w:pPr>
      <w:hyperlink r:id="rId9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Velarde as president of the Central Bank of Peru and appointed Luis Miguel Castilla as Minister of Economy and Finance, both of who</w:t>
      </w:r>
      <w:r>
        <w:rPr>
          <w:rFonts w:ascii="Arial" w:hAnsi="Arial" w:cs="Arial"/>
        </w:rPr>
        <w:t>m served as senior members of the previous administration and have been strong proponents of open market policies. We cannot assure you that the new administration will not pursue significant changes in the country_s economic policies and regulations, incl</w:t>
      </w:r>
      <w:r>
        <w:rPr>
          <w:rFonts w:ascii="Arial" w:hAnsi="Arial" w:cs="Arial"/>
        </w:rPr>
        <w:t xml:space="preserve">uding tax increases, higher minimum wages and employee pension requirements, stricter environmental standards, greater rights for local indigenous communities and more proactive or interventionist government policies in certain sectors of the economy that </w:t>
      </w:r>
      <w:r>
        <w:rPr>
          <w:rFonts w:ascii="Arial" w:hAnsi="Arial" w:cs="Arial"/>
        </w:rPr>
        <w:t xml:space="preserve">have been underserved by the private sector. Such policies, if implemented, could have a material adverse effect on the Peruvian economy and, as a result, us as well. </w:t>
      </w:r>
    </w:p>
    <w:p w:rsidR="00000000" w:rsidRDefault="003E5AFF">
      <w:pPr>
        <w:pStyle w:val="NormalWeb"/>
        <w:spacing w:before="120" w:beforeAutospacing="0" w:after="0" w:afterAutospacing="0"/>
      </w:pPr>
      <w:r>
        <w:rPr>
          <w:rFonts w:ascii="Arial" w:hAnsi="Arial" w:cs="Arial"/>
        </w:rPr>
        <w:t>In addition, President Humala_s political party did not obtain a majority of the congres</w:t>
      </w:r>
      <w:r>
        <w:rPr>
          <w:rFonts w:ascii="Arial" w:hAnsi="Arial" w:cs="Arial"/>
        </w:rPr>
        <w:t xml:space="preserve">sional seats which may potentially lead to a gridlock in the Peruvian Congress and create further political uncertainty. </w:t>
      </w:r>
    </w:p>
    <w:p w:rsidR="00000000" w:rsidRDefault="003E5AFF">
      <w:pPr>
        <w:pStyle w:val="NormalWeb"/>
        <w:spacing w:before="120" w:beforeAutospacing="0" w:after="0" w:afterAutospacing="0"/>
      </w:pPr>
      <w:r>
        <w:rPr>
          <w:rFonts w:ascii="Arial" w:hAnsi="Arial" w:cs="Arial"/>
          <w:b/>
          <w:bCs/>
          <w:i/>
          <w:iCs/>
        </w:rPr>
        <w:t xml:space="preserve">A devaluation of the Peru_s currency or unexpected changes in exchange controls could have a material adverse effect on us. </w:t>
      </w:r>
    </w:p>
    <w:p w:rsidR="00000000" w:rsidRDefault="003E5AFF">
      <w:pPr>
        <w:pStyle w:val="NormalWeb"/>
        <w:spacing w:before="120" w:beforeAutospacing="0" w:after="0" w:afterAutospacing="0"/>
      </w:pPr>
      <w:r>
        <w:rPr>
          <w:rFonts w:ascii="Arial" w:hAnsi="Arial" w:cs="Arial"/>
        </w:rPr>
        <w:t>The Peruv</w:t>
      </w:r>
      <w:r>
        <w:rPr>
          <w:rFonts w:ascii="Arial" w:hAnsi="Arial" w:cs="Arial"/>
        </w:rPr>
        <w:t>ian currency has historically experienced a significant number of devaluations and, as a result, the Peruvian government has adopted and operated under various exchange rate control practices and determination policies, ranging from strict control to marke</w:t>
      </w:r>
      <w:r>
        <w:rPr>
          <w:rFonts w:ascii="Arial" w:hAnsi="Arial" w:cs="Arial"/>
        </w:rPr>
        <w:t>t determination of exchange rates. The Nuevo Sol depreciated against the U.S. dollar by 4.8% in 2008, appreciated against the U.S. dollar by 8.0% in 2009, appreciated against the U.S. dollar by 2.8% in 2010 and appreciated against the U.S. dollar by 4.1% i</w:t>
      </w:r>
      <w:r>
        <w:rPr>
          <w:rFonts w:ascii="Arial" w:hAnsi="Arial" w:cs="Arial"/>
        </w:rPr>
        <w:t>n 2011. As the Peruvian economy is partially dollarized, devaluation of the Nuevo Sol against the U.S. dollar could have a negative impact on the economy. Therefore, any significant devaluation of the Nuevo Sol against the U.S. dollar could have a material</w:t>
      </w:r>
      <w:r>
        <w:rPr>
          <w:rFonts w:ascii="Arial" w:hAnsi="Arial" w:cs="Arial"/>
        </w:rPr>
        <w:t xml:space="preserve"> adverse effect on us. </w:t>
      </w:r>
    </w:p>
    <w:p w:rsidR="00000000" w:rsidRDefault="003E5AFF">
      <w:pPr>
        <w:pStyle w:val="NormalWeb"/>
        <w:spacing w:before="240" w:beforeAutospacing="0" w:after="0" w:afterAutospacing="0"/>
      </w:pPr>
      <w:r>
        <w:rPr>
          <w:rFonts w:ascii="Arial" w:hAnsi="Arial" w:cs="Arial"/>
          <w:b/>
          <w:bCs/>
          <w:sz w:val="24"/>
          <w:szCs w:val="24"/>
        </w:rPr>
        <w:t xml:space="preserve">Risks relating to our shares and the ADSs </w:t>
      </w:r>
    </w:p>
    <w:p w:rsidR="00000000" w:rsidRDefault="003E5AFF">
      <w:pPr>
        <w:pStyle w:val="NormalWeb"/>
        <w:spacing w:before="120" w:beforeAutospacing="0" w:after="0" w:afterAutospacing="0"/>
      </w:pPr>
      <w:r>
        <w:rPr>
          <w:rFonts w:ascii="Arial" w:hAnsi="Arial" w:cs="Arial"/>
          <w:b/>
          <w:bCs/>
          <w:i/>
          <w:iCs/>
        </w:rPr>
        <w:t>There is no existing market outside of Chile for the ADSs or for our shares of common stock , and we do not know whether one will develop to provide you with adequate liquidity. If our stoc</w:t>
      </w:r>
      <w:r>
        <w:rPr>
          <w:rFonts w:ascii="Arial" w:hAnsi="Arial" w:cs="Arial"/>
          <w:b/>
          <w:bCs/>
          <w:i/>
          <w:iCs/>
        </w:rPr>
        <w:t xml:space="preserve">k price fluctuates after the global offering, you could lose a significant part of your investment. </w:t>
      </w:r>
    </w:p>
    <w:p w:rsidR="00000000" w:rsidRDefault="003E5AFF">
      <w:pPr>
        <w:pStyle w:val="NormalWeb"/>
        <w:spacing w:before="120" w:beforeAutospacing="0" w:after="0" w:afterAutospacing="0"/>
      </w:pPr>
      <w:r>
        <w:rPr>
          <w:rFonts w:ascii="Arial" w:hAnsi="Arial" w:cs="Arial"/>
        </w:rPr>
        <w:t>Prior to the global offering, there has not been a public market for the ADSs or for our shares of common stock outside Chile. If an active trading market does not develop, you may have difficulty selling any of the ADSs that you buy. We cannot predict the</w:t>
      </w:r>
      <w:r>
        <w:rPr>
          <w:rFonts w:ascii="Arial" w:hAnsi="Arial" w:cs="Arial"/>
        </w:rPr>
        <w:t xml:space="preserve"> extent to which investor interest in our company will lead to the development of an active trading market on the New York Stock Exchange (the _NYSE_), or otherwise or how liquid that market might become. The offering price for the ADSs will be determined </w:t>
      </w:r>
      <w:r>
        <w:rPr>
          <w:rFonts w:ascii="Arial" w:hAnsi="Arial" w:cs="Arial"/>
        </w:rPr>
        <w:t>by, among other factors, negotiations between us and the international underwriters and may not be indicative of prices that will prevail in the open market following the global offering. Consequently, you may not be able to sell the ADSs at prices equal t</w:t>
      </w:r>
      <w:r>
        <w:rPr>
          <w:rFonts w:ascii="Arial" w:hAnsi="Arial" w:cs="Arial"/>
        </w:rPr>
        <w:t xml:space="preserve">o or greater than the price paid by you in the global offering. In addition to the risks described above, the market price of the ADSs may be influenced by many factors, some of which are beyond our control, including: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failure of financia</w:t>
            </w:r>
            <w:r>
              <w:rPr>
                <w:rFonts w:ascii="Arial" w:hAnsi="Arial" w:cs="Arial"/>
              </w:rPr>
              <w:t xml:space="preserve">l analysts to cover the ADSs or shares of common stock after the global offering or changes in financial estimates by analysts;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actual or anticipated variations in our operating results;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- 49 - </w:t>
      </w:r>
    </w:p>
    <w:p w:rsidR="00000000" w:rsidRDefault="003E5AFF">
      <w:pPr>
        <w:rPr>
          <w:rFonts w:eastAsia="Times New Roman" w:cs="Times New Roman"/>
        </w:rPr>
      </w:pPr>
      <w:r>
        <w:rPr>
          <w:rFonts w:eastAsia="Times New Roman" w:cs="Times New Roman"/>
        </w:rPr>
        <w:pict>
          <v:rect id="_x0000_i1083" style="width:441.9pt;height:3pt" o:hralign="center" o:hrstd="t" o:hrnoshade="t" o:hr="t" fillcolor="#999" stroked="f"/>
        </w:pict>
      </w:r>
    </w:p>
    <w:p w:rsidR="00000000" w:rsidRDefault="003E5AFF">
      <w:pPr>
        <w:pStyle w:val="Heading5"/>
        <w:rPr>
          <w:rFonts w:eastAsia="Times New Roman" w:cs="Times New Roman"/>
        </w:rPr>
      </w:pPr>
      <w:hyperlink r:id="rId100"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changes in financial estimates by financial analysts, or any failure by us to meet or exceed any such estimates, or changes in the recommendations of any financial analysts that elect to follow the AD</w:t>
            </w:r>
            <w:r>
              <w:rPr>
                <w:rFonts w:ascii="Arial" w:hAnsi="Arial" w:cs="Arial"/>
              </w:rPr>
              <w:t xml:space="preserve">Ss or shares of common stock or the shares of common stock of our competitors;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announcements by us or our competitors of significant contracts or acquisitions;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future sales of the ADSs and shares of common stock;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investor perceptions of us and the industries in which we operate. </w:t>
            </w:r>
          </w:p>
        </w:tc>
      </w:tr>
    </w:tbl>
    <w:p w:rsidR="00000000" w:rsidRDefault="003E5AFF">
      <w:pPr>
        <w:pStyle w:val="NormalWeb"/>
        <w:spacing w:before="120" w:beforeAutospacing="0" w:after="0" w:afterAutospacing="0"/>
      </w:pPr>
      <w:r>
        <w:rPr>
          <w:rFonts w:ascii="Arial" w:hAnsi="Arial" w:cs="Arial"/>
        </w:rPr>
        <w:t>In addition, the stock market in general has experienced substantial price and volume fluctuations that have often been unrelated or disproportionate to the operating performance of par</w:t>
      </w:r>
      <w:r>
        <w:rPr>
          <w:rFonts w:ascii="Arial" w:hAnsi="Arial" w:cs="Arial"/>
        </w:rPr>
        <w:t>ticular companies affected. These broad market and industry factors may materially harm the market price of the ADSs and shares of common stock, regardless of our operating performance. In the past, following periods of volatility in the market price of ce</w:t>
      </w:r>
      <w:r>
        <w:rPr>
          <w:rFonts w:ascii="Arial" w:hAnsi="Arial" w:cs="Arial"/>
        </w:rPr>
        <w:t xml:space="preserve">rtain companies_ securities, securities class-action litigation has been instituted against these companies. Such litigation, if instituted against us, could have a material adverse effect on us. </w:t>
      </w:r>
    </w:p>
    <w:p w:rsidR="00000000" w:rsidRDefault="003E5AFF">
      <w:pPr>
        <w:pStyle w:val="NormalWeb"/>
        <w:spacing w:before="120" w:beforeAutospacing="0" w:after="0" w:afterAutospacing="0"/>
      </w:pPr>
      <w:r>
        <w:rPr>
          <w:rFonts w:ascii="Arial" w:hAnsi="Arial" w:cs="Arial"/>
          <w:b/>
          <w:bCs/>
          <w:i/>
          <w:iCs/>
        </w:rPr>
        <w:t xml:space="preserve">There may be a lack of liquidity and market for our shares </w:t>
      </w:r>
      <w:r>
        <w:rPr>
          <w:rFonts w:ascii="Arial" w:hAnsi="Arial" w:cs="Arial"/>
          <w:b/>
          <w:bCs/>
          <w:i/>
          <w:iCs/>
        </w:rPr>
        <w:t xml:space="preserve">of common stock and the ADSs in Chile. </w:t>
      </w:r>
    </w:p>
    <w:p w:rsidR="00000000" w:rsidRDefault="003E5AFF">
      <w:pPr>
        <w:pStyle w:val="NormalWeb"/>
        <w:spacing w:before="120" w:beforeAutospacing="0" w:after="0" w:afterAutospacing="0"/>
      </w:pPr>
      <w:r>
        <w:rPr>
          <w:rFonts w:ascii="Arial" w:hAnsi="Arial" w:cs="Arial"/>
        </w:rPr>
        <w:t>Our shares of common stock are listed and traded on the Santiago Stock Exchange, the Chile Electronic Stock Exchange and the Valpara_so Stock Exchange, which we collectively refer to as the _Chilean Stock Exchanges._</w:t>
      </w:r>
      <w:r>
        <w:rPr>
          <w:rFonts w:ascii="Arial" w:hAnsi="Arial" w:cs="Arial"/>
        </w:rPr>
        <w:t xml:space="preserve"> Although ADS holders are entitled to withdraw shares of common stock underlying the ADSs from The Bank of New York Mellon (the _Depositary_) at any time, the Chilean Stock Exchanges are substantially smaller, less liquid and more volatile than major secur</w:t>
      </w:r>
      <w:r>
        <w:rPr>
          <w:rFonts w:ascii="Arial" w:hAnsi="Arial" w:cs="Arial"/>
        </w:rPr>
        <w:t xml:space="preserve">ities markets in the United States. Although our shares of common stock are traded on the Chilean Stock Exchanges, there can be no assurance that a liquid trading market for our shares of common stock will continue to exist. Prior to this proposed capital </w:t>
      </w:r>
      <w:r>
        <w:rPr>
          <w:rFonts w:ascii="Arial" w:hAnsi="Arial" w:cs="Arial"/>
        </w:rPr>
        <w:t>increase, our non-controlling shareholders hold approximately 35% of our outstanding shares of common stock. A limited trading market in general and our concentrated ownership in particular may impair the ability of an ADS holder to sell in the Chilean mar</w:t>
      </w:r>
      <w:r>
        <w:rPr>
          <w:rFonts w:ascii="Arial" w:hAnsi="Arial" w:cs="Arial"/>
        </w:rPr>
        <w:t xml:space="preserve">ket any shares of common stock obtained upon withdrawal of such shares from the ADS facility in the amount and at the price and time such holder desires, and could increase volatility of the price of the ADSs. </w:t>
      </w:r>
    </w:p>
    <w:p w:rsidR="00000000" w:rsidRDefault="003E5AFF">
      <w:pPr>
        <w:pStyle w:val="NormalWeb"/>
        <w:spacing w:before="120" w:beforeAutospacing="0" w:after="0" w:afterAutospacing="0"/>
      </w:pPr>
      <w:r>
        <w:rPr>
          <w:rFonts w:ascii="Arial" w:hAnsi="Arial" w:cs="Arial"/>
          <w:b/>
          <w:bCs/>
          <w:i/>
          <w:iCs/>
        </w:rPr>
        <w:t>Holders of ADSs may find it difficult to exer</w:t>
      </w:r>
      <w:r>
        <w:rPr>
          <w:rFonts w:ascii="Arial" w:hAnsi="Arial" w:cs="Arial"/>
          <w:b/>
          <w:bCs/>
          <w:i/>
          <w:iCs/>
        </w:rPr>
        <w:t xml:space="preserve">cise voting rights at our shareholders_ meetings. </w:t>
      </w:r>
    </w:p>
    <w:p w:rsidR="00000000" w:rsidRDefault="003E5AFF">
      <w:pPr>
        <w:pStyle w:val="NormalWeb"/>
        <w:spacing w:before="120" w:beforeAutospacing="0" w:after="0" w:afterAutospacing="0"/>
      </w:pPr>
      <w:r>
        <w:rPr>
          <w:rFonts w:ascii="Arial" w:hAnsi="Arial" w:cs="Arial"/>
        </w:rPr>
        <w:t xml:space="preserve">Holders of ADSs will not be direct shareholders of our company and will be unable to enforce directly the rights of shareholders under our </w:t>
      </w:r>
      <w:r>
        <w:rPr>
          <w:rFonts w:ascii="Arial" w:hAnsi="Arial" w:cs="Arial"/>
          <w:i/>
          <w:iCs/>
        </w:rPr>
        <w:t>estatutos</w:t>
      </w:r>
      <w:r>
        <w:rPr>
          <w:rFonts w:ascii="Arial" w:hAnsi="Arial" w:cs="Arial"/>
        </w:rPr>
        <w:t xml:space="preserve"> (_Bylaws_) and the laws of Chile. Holders of ADSs may ex</w:t>
      </w:r>
      <w:r>
        <w:rPr>
          <w:rFonts w:ascii="Arial" w:hAnsi="Arial" w:cs="Arial"/>
        </w:rPr>
        <w:t>ercise voting rights with respect to the shares of common stock represented by ADSs only in accordance with the deposit agreement governing the ADSs. Holders of ADSs will face practical limitations in exercising their voting rights because of the additiona</w:t>
      </w:r>
      <w:r>
        <w:rPr>
          <w:rFonts w:ascii="Arial" w:hAnsi="Arial" w:cs="Arial"/>
        </w:rPr>
        <w:t xml:space="preserve">l steps involved in our communications with ADS holders. Holders of our shares of common stock will be able to exercise their voting rights by attending a shareholders_ meeting in person or voting by proxy. By contrast, holders of ADSs will receive notice </w:t>
      </w:r>
      <w:r>
        <w:rPr>
          <w:rFonts w:ascii="Arial" w:hAnsi="Arial" w:cs="Arial"/>
        </w:rPr>
        <w:t>of a shareholders_ meeting by mail from the Depositary following our notice to the Depositary requesting the Depositary to do so. To exercise their voting rights, holders of ADSs must instruct the Depositary on a timely basis on how they wish to vote. This</w:t>
      </w:r>
      <w:r>
        <w:rPr>
          <w:rFonts w:ascii="Arial" w:hAnsi="Arial" w:cs="Arial"/>
        </w:rPr>
        <w:t xml:space="preserve"> voting process necessarily will take longer for holders of ADSs than for holders of our common stock. If the Depositary fails to receive timely voting instructions for all or part of the ADSs, the Depositary will assume that the holders of those ADSs are </w:t>
      </w:r>
      <w:r>
        <w:rPr>
          <w:rFonts w:ascii="Arial" w:hAnsi="Arial" w:cs="Arial"/>
        </w:rPr>
        <w:t xml:space="preserve">instructing it to give a discretionary proxy to a person designated by us to vote with respect to their ADSs, except in limited circumstances.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- 50 - </w:t>
      </w:r>
    </w:p>
    <w:p w:rsidR="00000000" w:rsidRDefault="003E5AFF">
      <w:pPr>
        <w:rPr>
          <w:rFonts w:eastAsia="Times New Roman" w:cs="Times New Roman"/>
        </w:rPr>
      </w:pPr>
      <w:r>
        <w:rPr>
          <w:rFonts w:eastAsia="Times New Roman" w:cs="Times New Roman"/>
        </w:rPr>
        <w:pict>
          <v:rect id="_x0000_i1084" style="width:441.9pt;height:3pt" o:hralign="center" o:hrstd="t" o:hrnoshade="t" o:hr="t" fillcolor="#999" stroked="f"/>
        </w:pict>
      </w:r>
    </w:p>
    <w:p w:rsidR="00000000" w:rsidRDefault="003E5AFF">
      <w:pPr>
        <w:pStyle w:val="Heading5"/>
        <w:rPr>
          <w:rFonts w:eastAsia="Times New Roman" w:cs="Times New Roman"/>
        </w:rPr>
      </w:pPr>
      <w:hyperlink r:id="rId101"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rPr>
        <w:t>Holders of ADSs also may not receive the voting materials in time to instruct the Depositary to vote the common stock underlying their ADSs. In addition, the Depositary and its agents are not responsible for failing to carry out voting instruction</w:t>
      </w:r>
      <w:r>
        <w:rPr>
          <w:rFonts w:ascii="Arial" w:hAnsi="Arial" w:cs="Arial"/>
        </w:rPr>
        <w:t>s of the holders of ADSs or for the manner of carrying out those voting instructions. Accordingly, holders of ADSs may not be able to exercise voting rights, and they will have little, if any, recourse if the shares of common stock underlying their ADSs ar</w:t>
      </w:r>
      <w:r>
        <w:rPr>
          <w:rFonts w:ascii="Arial" w:hAnsi="Arial" w:cs="Arial"/>
        </w:rPr>
        <w:t xml:space="preserve">e not voted as requested. </w:t>
      </w:r>
    </w:p>
    <w:p w:rsidR="00000000" w:rsidRDefault="003E5AFF">
      <w:pPr>
        <w:pStyle w:val="NormalWeb"/>
        <w:spacing w:before="120" w:beforeAutospacing="0" w:after="0" w:afterAutospacing="0"/>
      </w:pPr>
      <w:r>
        <w:rPr>
          <w:rFonts w:ascii="Arial" w:hAnsi="Arial" w:cs="Arial"/>
          <w:b/>
          <w:bCs/>
          <w:i/>
          <w:iCs/>
        </w:rPr>
        <w:t xml:space="preserve">The significant share ownership of our controlling shareholders may have a material adverse effect on the future market price of the ADSs and our shares of common stock. </w:t>
      </w:r>
    </w:p>
    <w:p w:rsidR="00000000" w:rsidRDefault="003E5AFF">
      <w:pPr>
        <w:pStyle w:val="NormalWeb"/>
        <w:spacing w:before="120" w:beforeAutospacing="0" w:after="0" w:afterAutospacing="0"/>
      </w:pPr>
      <w:r>
        <w:rPr>
          <w:rFonts w:ascii="Arial" w:hAnsi="Arial" w:cs="Arial"/>
        </w:rPr>
        <w:t>We are currently controlled by our founder, Mr. Horst Paul</w:t>
      </w:r>
      <w:r>
        <w:rPr>
          <w:rFonts w:ascii="Arial" w:hAnsi="Arial" w:cs="Arial"/>
        </w:rPr>
        <w:t>mann, and his family, who together have a 64.9% ownership stake in us, through Inversiones Quinchamali Ltda., Inversiones Latad_a Ltda. and Inversiones Tano Ltda. A disposition by our Controlling Shareholder of a significant number of our shares, or the pe</w:t>
      </w:r>
      <w:r>
        <w:rPr>
          <w:rFonts w:ascii="Arial" w:hAnsi="Arial" w:cs="Arial"/>
        </w:rPr>
        <w:t xml:space="preserve">rception that such a disposition might occur, could materially and adversely affect the trading price of our shares of common stock on the Santiago Stock Exchange as well as the market price of the ADSs on the New York Stock Exchange. </w:t>
      </w:r>
    </w:p>
    <w:p w:rsidR="00000000" w:rsidRDefault="003E5AFF">
      <w:pPr>
        <w:pStyle w:val="NormalWeb"/>
        <w:spacing w:before="120" w:beforeAutospacing="0" w:after="0" w:afterAutospacing="0"/>
      </w:pPr>
      <w:r>
        <w:rPr>
          <w:rFonts w:ascii="Arial" w:hAnsi="Arial" w:cs="Arial"/>
          <w:b/>
          <w:bCs/>
          <w:i/>
          <w:iCs/>
        </w:rPr>
        <w:t>Our Controlling Shar</w:t>
      </w:r>
      <w:r>
        <w:rPr>
          <w:rFonts w:ascii="Arial" w:hAnsi="Arial" w:cs="Arial"/>
          <w:b/>
          <w:bCs/>
          <w:i/>
          <w:iCs/>
        </w:rPr>
        <w:t xml:space="preserve">eholders are able, and after the global offering will continue, to exercise significant control over our company, and also own a significant minority interest in many of our international subsidiaries which could result in conflicts of interest. </w:t>
      </w:r>
    </w:p>
    <w:p w:rsidR="00000000" w:rsidRDefault="003E5AFF">
      <w:pPr>
        <w:pStyle w:val="NormalWeb"/>
        <w:spacing w:before="120" w:beforeAutospacing="0" w:after="0" w:afterAutospacing="0"/>
      </w:pPr>
      <w:r>
        <w:rPr>
          <w:rFonts w:ascii="Arial" w:hAnsi="Arial" w:cs="Arial"/>
        </w:rPr>
        <w:t>Our Contr</w:t>
      </w:r>
      <w:r>
        <w:rPr>
          <w:rFonts w:ascii="Arial" w:hAnsi="Arial" w:cs="Arial"/>
        </w:rPr>
        <w:t>olling Shareholders are in a position to direct our management and to determine the result of substantially all matters to be decided by majority vote of our shareholders, including the election of a majority of the members of our board of directors, deter</w:t>
      </w:r>
      <w:r>
        <w:rPr>
          <w:rFonts w:ascii="Arial" w:hAnsi="Arial" w:cs="Arial"/>
        </w:rPr>
        <w:t>mining the amount of dividends distributed by us (subject to the legally mandated minimum of 30% of net income), adopting certain amendments to our Bylaws, including the issuance of new shares, enforcing or waiving our rights under existing agreements, lea</w:t>
      </w:r>
      <w:r>
        <w:rPr>
          <w:rFonts w:ascii="Arial" w:hAnsi="Arial" w:cs="Arial"/>
        </w:rPr>
        <w:t>ses and contractual arrangements and entering into agreements with entities affiliated with us. As a result, circumstances may occur in which our Controlling Shareholders_ interests could be in conflict with your interests as holder of the ADSs. Our Contro</w:t>
      </w:r>
      <w:r>
        <w:rPr>
          <w:rFonts w:ascii="Arial" w:hAnsi="Arial" w:cs="Arial"/>
        </w:rPr>
        <w:t xml:space="preserve">lling Shareholders may have interests in pursuing or preventing acquisitions, divestitures or other transactions where, in their judgment, such action would be in our best interests, even though such action may not be in the best interests of our minority </w:t>
      </w:r>
      <w:r>
        <w:rPr>
          <w:rFonts w:ascii="Arial" w:hAnsi="Arial" w:cs="Arial"/>
        </w:rPr>
        <w:t xml:space="preserve">shareholders. </w:t>
      </w:r>
    </w:p>
    <w:p w:rsidR="00000000" w:rsidRDefault="003E5AFF">
      <w:pPr>
        <w:pStyle w:val="NormalWeb"/>
        <w:spacing w:before="120" w:beforeAutospacing="0" w:after="0" w:afterAutospacing="0"/>
      </w:pPr>
      <w:r>
        <w:rPr>
          <w:rFonts w:ascii="Arial" w:hAnsi="Arial" w:cs="Arial"/>
          <w:b/>
          <w:bCs/>
          <w:i/>
          <w:iCs/>
        </w:rPr>
        <w:t xml:space="preserve">Our status as a foreign private issuer exempts us from certain of the corporate governance standards of the NYSE, limiting the protections afforded to investors. </w:t>
      </w:r>
    </w:p>
    <w:p w:rsidR="00000000" w:rsidRDefault="003E5AFF">
      <w:pPr>
        <w:pStyle w:val="NormalWeb"/>
        <w:spacing w:before="120" w:beforeAutospacing="0" w:after="0" w:afterAutospacing="0"/>
      </w:pPr>
      <w:r>
        <w:rPr>
          <w:rFonts w:ascii="Arial" w:hAnsi="Arial" w:cs="Arial"/>
        </w:rPr>
        <w:t>We are a _foreign private issuer_ within the meaning of the NYSE corporate gov</w:t>
      </w:r>
      <w:r>
        <w:rPr>
          <w:rFonts w:ascii="Arial" w:hAnsi="Arial" w:cs="Arial"/>
        </w:rPr>
        <w:t>ernance standards. Under the NYSE listing rules, a foreign private issuer may elect to comply with the practice of its home country and not to comply with certain NYSE corporate governance requirements, including the requirements that (1) a majority of the</w:t>
      </w:r>
      <w:r>
        <w:rPr>
          <w:rFonts w:ascii="Arial" w:hAnsi="Arial" w:cs="Arial"/>
        </w:rPr>
        <w:t xml:space="preserve"> board of directors consist of independent directors, (2) a nominating and corporate governance committee be established that is composed entirely of independent directors and has a written charter addressing the committee_s purpose and responsibilities, (</w:t>
      </w:r>
      <w:r>
        <w:rPr>
          <w:rFonts w:ascii="Arial" w:hAnsi="Arial" w:cs="Arial"/>
        </w:rPr>
        <w:t>3) a compensation committee be established that is composed entirely of independent directors and has a written charter addressing the committee_s purpose and responsibilities, and (4) an annual performance evaluation of the nominating and corporate govern</w:t>
      </w:r>
      <w:r>
        <w:rPr>
          <w:rFonts w:ascii="Arial" w:hAnsi="Arial" w:cs="Arial"/>
        </w:rPr>
        <w:t xml:space="preserve">ance and compensation committees be undertaken. Therefore, you will not have the same protections afforded to shareholders of companies that are subject to all New NYSE corporate governance requirements. </w:t>
      </w:r>
    </w:p>
    <w:p w:rsidR="00000000" w:rsidRDefault="003E5AFF">
      <w:pPr>
        <w:pStyle w:val="NormalWeb"/>
        <w:spacing w:before="120" w:beforeAutospacing="0" w:after="0" w:afterAutospacing="0"/>
      </w:pPr>
      <w:r>
        <w:rPr>
          <w:rFonts w:ascii="Arial" w:hAnsi="Arial" w:cs="Arial"/>
        </w:rPr>
        <w:t>For example, in reliance on the foreign private iss</w:t>
      </w:r>
      <w:r>
        <w:rPr>
          <w:rFonts w:ascii="Arial" w:hAnsi="Arial" w:cs="Arial"/>
        </w:rPr>
        <w:t xml:space="preserve">uer exemption to the NYSE listing rules a majority of our board of directors may not consist of independent directors; our board_s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- 51 - </w:t>
      </w:r>
    </w:p>
    <w:p w:rsidR="00000000" w:rsidRDefault="003E5AFF">
      <w:pPr>
        <w:rPr>
          <w:rFonts w:eastAsia="Times New Roman" w:cs="Times New Roman"/>
        </w:rPr>
      </w:pPr>
      <w:r>
        <w:rPr>
          <w:rFonts w:eastAsia="Times New Roman" w:cs="Times New Roman"/>
        </w:rPr>
        <w:pict>
          <v:rect id="_x0000_i1085" style="width:441.9pt;height:3pt" o:hralign="center" o:hrstd="t" o:hrnoshade="t" o:hr="t" fillcolor="#999" stroked="f"/>
        </w:pict>
      </w:r>
    </w:p>
    <w:p w:rsidR="00000000" w:rsidRDefault="003E5AFF">
      <w:pPr>
        <w:pStyle w:val="Heading5"/>
        <w:rPr>
          <w:rFonts w:eastAsia="Times New Roman" w:cs="Times New Roman"/>
        </w:rPr>
      </w:pPr>
      <w:hyperlink r:id="rId10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approach may therefore be different from that of a board with a maj</w:t>
      </w:r>
      <w:r>
        <w:rPr>
          <w:rFonts w:ascii="Arial" w:hAnsi="Arial" w:cs="Arial"/>
        </w:rPr>
        <w:t xml:space="preserve">ority of independent directors, and as a result, the management oversight of our Company may be more limited than if we were subject to the NYSE listing rules. </w:t>
      </w:r>
    </w:p>
    <w:p w:rsidR="00000000" w:rsidRDefault="003E5AFF">
      <w:pPr>
        <w:pStyle w:val="NormalWeb"/>
        <w:spacing w:before="120" w:beforeAutospacing="0" w:after="0" w:afterAutospacing="0"/>
      </w:pPr>
      <w:r>
        <w:rPr>
          <w:rFonts w:ascii="Arial" w:hAnsi="Arial" w:cs="Arial"/>
          <w:b/>
          <w:bCs/>
          <w:i/>
          <w:iCs/>
        </w:rPr>
        <w:t>U.S. securities laws do not require us to disclose as much information to investors as a U.S. i</w:t>
      </w:r>
      <w:r>
        <w:rPr>
          <w:rFonts w:ascii="Arial" w:hAnsi="Arial" w:cs="Arial"/>
          <w:b/>
          <w:bCs/>
          <w:i/>
          <w:iCs/>
        </w:rPr>
        <w:t xml:space="preserve">ssuer is required to disclose, and you may receive less information about us than you might otherwise receive from a comparable U.S. company. </w:t>
      </w:r>
    </w:p>
    <w:p w:rsidR="00000000" w:rsidRDefault="003E5AFF">
      <w:pPr>
        <w:pStyle w:val="NormalWeb"/>
        <w:spacing w:before="120" w:beforeAutospacing="0" w:after="0" w:afterAutospacing="0"/>
      </w:pPr>
      <w:r>
        <w:rPr>
          <w:rFonts w:ascii="Arial" w:hAnsi="Arial" w:cs="Arial"/>
        </w:rPr>
        <w:t xml:space="preserve">The </w:t>
      </w:r>
      <w:r>
        <w:rPr>
          <w:rFonts w:ascii="Arial" w:hAnsi="Arial" w:cs="Arial"/>
        </w:rPr>
        <w:t>corporate disclosure requirements applicable to us may not be equivalent to the requirements applicable to a U.S. company and, as a result, you may receive less information about us than you might otherwise receive in connection with a comparable U.S. comp</w:t>
      </w:r>
      <w:r>
        <w:rPr>
          <w:rFonts w:ascii="Arial" w:hAnsi="Arial" w:cs="Arial"/>
        </w:rPr>
        <w:t xml:space="preserve">any. Upon completion of the international offering, we will be subject to the periodic reporting requirements of the Exchange Act of 1934, as amended (the _Exchange Act_) that apply to _foreign private issuers._ The periodic disclosure required of foreign </w:t>
      </w:r>
      <w:r>
        <w:rPr>
          <w:rFonts w:ascii="Arial" w:hAnsi="Arial" w:cs="Arial"/>
        </w:rPr>
        <w:t xml:space="preserve">private issuers under the Exchange Act is more limited than the periodic disclosure required of U.S. issuers. For example: </w:t>
      </w:r>
    </w:p>
    <w:p w:rsidR="00000000" w:rsidRDefault="003E5AFF">
      <w:pPr>
        <w:pStyle w:val="NormalWeb"/>
        <w:spacing w:before="120" w:beforeAutospacing="0" w:after="0" w:afterAutospacing="0"/>
      </w:pPr>
      <w:r>
        <w:rPr>
          <w:rFonts w:ascii="Arial" w:hAnsi="Arial" w:cs="Arial"/>
        </w:rPr>
        <w:t>We will be required only to file an annual report on Form 20-F, but we are not required to file any quarterly reports. A U.S. regist</w:t>
      </w:r>
      <w:r>
        <w:rPr>
          <w:rFonts w:ascii="Arial" w:hAnsi="Arial" w:cs="Arial"/>
        </w:rPr>
        <w:t xml:space="preserve">rant must file an annual report on Form 10-K and three quarterly reports on Form 10-Q. </w:t>
      </w:r>
    </w:p>
    <w:p w:rsidR="00000000" w:rsidRDefault="003E5AFF">
      <w:pPr>
        <w:pStyle w:val="NormalWeb"/>
        <w:spacing w:before="120" w:beforeAutospacing="0" w:after="0" w:afterAutospacing="0"/>
      </w:pPr>
      <w:r>
        <w:rPr>
          <w:rFonts w:ascii="Arial" w:hAnsi="Arial" w:cs="Arial"/>
        </w:rPr>
        <w:t>We will be required to file current reports on Form 6-K, but the information that we must disclose in those reports is governed primarily by Chilean law disclosure requ</w:t>
      </w:r>
      <w:r>
        <w:rPr>
          <w:rFonts w:ascii="Arial" w:hAnsi="Arial" w:cs="Arial"/>
        </w:rPr>
        <w:t xml:space="preserve">irements and may differ from Form 8-K_s current reporting requirements imposed on a U.S. issuer. </w:t>
      </w:r>
    </w:p>
    <w:p w:rsidR="00000000" w:rsidRDefault="003E5AFF">
      <w:pPr>
        <w:pStyle w:val="NormalWeb"/>
        <w:spacing w:before="120" w:beforeAutospacing="0" w:after="0" w:afterAutospacing="0"/>
      </w:pPr>
      <w:r>
        <w:rPr>
          <w:rFonts w:ascii="Arial" w:hAnsi="Arial" w:cs="Arial"/>
        </w:rPr>
        <w:t>We are not subject to the proxy requirements of Section 14 of the Exchange Act and our officers, directors and principal shareholders are not subject to the s</w:t>
      </w:r>
      <w:r>
        <w:rPr>
          <w:rFonts w:ascii="Arial" w:hAnsi="Arial" w:cs="Arial"/>
        </w:rPr>
        <w:t xml:space="preserve">hort swing insider trading reporting and recovery requirements under Section 16 of the Exchange Act. </w:t>
      </w:r>
    </w:p>
    <w:p w:rsidR="00000000" w:rsidRDefault="003E5AFF">
      <w:pPr>
        <w:pStyle w:val="NormalWeb"/>
        <w:spacing w:before="120" w:beforeAutospacing="0" w:after="0" w:afterAutospacing="0"/>
      </w:pPr>
      <w:r>
        <w:rPr>
          <w:rFonts w:ascii="Arial" w:hAnsi="Arial" w:cs="Arial"/>
          <w:b/>
          <w:bCs/>
          <w:i/>
          <w:iCs/>
        </w:rPr>
        <w:t xml:space="preserve">Chilean law provides for fewer and less well-defined shareholders_ rights. </w:t>
      </w:r>
    </w:p>
    <w:p w:rsidR="00000000" w:rsidRDefault="003E5AFF">
      <w:pPr>
        <w:pStyle w:val="NormalWeb"/>
        <w:spacing w:before="120" w:beforeAutospacing="0" w:after="0" w:afterAutospacing="0"/>
      </w:pPr>
      <w:r>
        <w:rPr>
          <w:rFonts w:ascii="Arial" w:hAnsi="Arial" w:cs="Arial"/>
        </w:rPr>
        <w:t>Our corporate affairs are governed by our Bylaws (which serve the combined fun</w:t>
      </w:r>
      <w:r>
        <w:rPr>
          <w:rFonts w:ascii="Arial" w:hAnsi="Arial" w:cs="Arial"/>
        </w:rPr>
        <w:t>ction of the articles of incorporation and the bylaws of a U.S. corporation), and the laws of Chile. Under such laws and our Bylaws, our shareholders may have fewer or less well-defined rights than they might have as shareholders of a corporation incorpora</w:t>
      </w:r>
      <w:r>
        <w:rPr>
          <w:rFonts w:ascii="Arial" w:hAnsi="Arial" w:cs="Arial"/>
        </w:rPr>
        <w:t>ted in a U.S. jurisdiction. For example, our shareholders would not be entitled to redemption rights in the event of a merger or other business combination undertaken by us. Persons or entities who seek to acquire control of a publicly-held Chilean corpora</w:t>
      </w:r>
      <w:r>
        <w:rPr>
          <w:rFonts w:ascii="Arial" w:hAnsi="Arial" w:cs="Arial"/>
        </w:rPr>
        <w:t>tion through a tender offer (</w:t>
      </w:r>
      <w:r>
        <w:rPr>
          <w:rFonts w:ascii="Arial" w:hAnsi="Arial" w:cs="Arial"/>
          <w:i/>
          <w:iCs/>
        </w:rPr>
        <w:t>oferta p_blica de adquisici_n de acciones</w:t>
      </w:r>
      <w:r>
        <w:rPr>
          <w:rFonts w:ascii="Arial" w:hAnsi="Arial" w:cs="Arial"/>
        </w:rPr>
        <w:t>), must make an offer to any and all shareholders of such company. See _Description of Share Capital_Right of dissenting shareholders to tender their shares_ and _Description of Share Ca</w:t>
      </w:r>
      <w:r>
        <w:rPr>
          <w:rFonts w:ascii="Arial" w:hAnsi="Arial" w:cs="Arial"/>
        </w:rPr>
        <w:t xml:space="preserve">pital_Dividend and liquidation rights._ </w:t>
      </w:r>
    </w:p>
    <w:p w:rsidR="00000000" w:rsidRDefault="003E5AFF">
      <w:pPr>
        <w:pStyle w:val="NormalWeb"/>
        <w:spacing w:before="120" w:beforeAutospacing="0" w:after="0" w:afterAutospacing="0"/>
      </w:pPr>
      <w:r>
        <w:rPr>
          <w:rFonts w:ascii="Arial" w:hAnsi="Arial" w:cs="Arial"/>
        </w:rPr>
        <w:t xml:space="preserve">See _Description of Share Capital_Right of dissenting shareholders to tender their shares_ and _Description of Share Capital_Dividend and liquidation rights._ </w:t>
      </w:r>
    </w:p>
    <w:p w:rsidR="00000000" w:rsidRDefault="003E5AFF">
      <w:pPr>
        <w:pStyle w:val="NormalWeb"/>
        <w:spacing w:before="120" w:beforeAutospacing="0" w:after="0" w:afterAutospacing="0"/>
      </w:pPr>
      <w:r>
        <w:rPr>
          <w:rFonts w:ascii="Arial" w:hAnsi="Arial" w:cs="Arial"/>
          <w:b/>
          <w:bCs/>
          <w:i/>
          <w:iCs/>
        </w:rPr>
        <w:t>Our status as a U.S. public company may increase our co</w:t>
      </w:r>
      <w:r>
        <w:rPr>
          <w:rFonts w:ascii="Arial" w:hAnsi="Arial" w:cs="Arial"/>
          <w:b/>
          <w:bCs/>
          <w:i/>
          <w:iCs/>
        </w:rPr>
        <w:t xml:space="preserve">sts and disrupt the regular operations of our business. </w:t>
      </w:r>
    </w:p>
    <w:p w:rsidR="00000000" w:rsidRDefault="003E5AFF">
      <w:pPr>
        <w:pStyle w:val="NormalWeb"/>
        <w:spacing w:before="120" w:beforeAutospacing="0" w:after="0" w:afterAutospacing="0"/>
      </w:pPr>
      <w:r>
        <w:rPr>
          <w:rFonts w:ascii="Arial" w:hAnsi="Arial" w:cs="Arial"/>
        </w:rPr>
        <w:t xml:space="preserve">The international offering will have a significant transformative effect on us. We expect to incur additional legal, accounting, reporting and other expenses as a result of having an ADS program. We </w:t>
      </w:r>
      <w:r>
        <w:rPr>
          <w:rFonts w:ascii="Arial" w:hAnsi="Arial" w:cs="Arial"/>
        </w:rPr>
        <w:t>will also incur costs which we have not incurred previously, including, but not limited to, increased costs and expenses for directors_ fees, increased directors and officers insurance, increased investor relations, and various other incremental costs rela</w:t>
      </w:r>
      <w:r>
        <w:rPr>
          <w:rFonts w:ascii="Arial" w:hAnsi="Arial" w:cs="Arial"/>
        </w:rPr>
        <w:t xml:space="preserve">ted to having an ADS program traded in the United States.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- 52 - </w:t>
      </w:r>
    </w:p>
    <w:p w:rsidR="00000000" w:rsidRDefault="003E5AFF">
      <w:pPr>
        <w:rPr>
          <w:rFonts w:eastAsia="Times New Roman" w:cs="Times New Roman"/>
        </w:rPr>
      </w:pPr>
      <w:r>
        <w:rPr>
          <w:rFonts w:eastAsia="Times New Roman" w:cs="Times New Roman"/>
        </w:rPr>
        <w:pict>
          <v:rect id="_x0000_i1086" style="width:441.9pt;height:3pt" o:hralign="center" o:hrstd="t" o:hrnoshade="t" o:hr="t" fillcolor="#999" stroked="f"/>
        </w:pict>
      </w:r>
    </w:p>
    <w:p w:rsidR="00000000" w:rsidRDefault="003E5AFF">
      <w:pPr>
        <w:pStyle w:val="Heading5"/>
        <w:rPr>
          <w:rFonts w:eastAsia="Times New Roman" w:cs="Times New Roman"/>
        </w:rPr>
      </w:pPr>
      <w:hyperlink r:id="rId10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We also anticipate that we will incur costs associated with corporate governance requirements, </w:t>
      </w:r>
      <w:r>
        <w:rPr>
          <w:rFonts w:ascii="Arial" w:hAnsi="Arial" w:cs="Arial"/>
        </w:rPr>
        <w:t>including requirements under the Sarbanes-Oxley Act of 2002, as amended, as well as rules implemented by the Securities and Exchange Commission (the _SEC_) and NYSE. We expect these rules and regulations to increase our legal and financial compliance costs</w:t>
      </w:r>
      <w:r>
        <w:rPr>
          <w:rFonts w:ascii="Arial" w:hAnsi="Arial" w:cs="Arial"/>
        </w:rPr>
        <w:t xml:space="preserve"> and make some management and corporate governance activities more time-consuming and costly. These rules and regulations may make it more difficult and more expensive for us to obtain director and officer liability insurance, and we may be required to acc</w:t>
      </w:r>
      <w:r>
        <w:rPr>
          <w:rFonts w:ascii="Arial" w:hAnsi="Arial" w:cs="Arial"/>
        </w:rPr>
        <w:t>ept reduced policy limits and coverage or incur substantially higher costs to obtain the same or similar coverage. This could have a material adverse impact on our ability to recruit and bring on a qualified independent board. We cannot predict or estimate</w:t>
      </w:r>
      <w:r>
        <w:rPr>
          <w:rFonts w:ascii="Arial" w:hAnsi="Arial" w:cs="Arial"/>
        </w:rPr>
        <w:t xml:space="preserve"> the amount of additional costs we may incur as a result of these requirements or the timing of such costs. </w:t>
      </w:r>
    </w:p>
    <w:p w:rsidR="00000000" w:rsidRDefault="003E5AFF">
      <w:pPr>
        <w:pStyle w:val="NormalWeb"/>
        <w:spacing w:before="120" w:beforeAutospacing="0" w:after="0" w:afterAutospacing="0"/>
      </w:pPr>
      <w:r>
        <w:rPr>
          <w:rFonts w:ascii="Arial" w:hAnsi="Arial" w:cs="Arial"/>
          <w:b/>
          <w:bCs/>
          <w:i/>
          <w:iCs/>
        </w:rPr>
        <w:t>Chile imposes controls on foreign investment and repatriation of investments that may affect your investment in, and earnings from, the ADSs, and m</w:t>
      </w:r>
      <w:r>
        <w:rPr>
          <w:rFonts w:ascii="Arial" w:hAnsi="Arial" w:cs="Arial"/>
          <w:b/>
          <w:bCs/>
          <w:i/>
          <w:iCs/>
        </w:rPr>
        <w:t xml:space="preserve">ay impose additional controls or restrictions in the future. </w:t>
      </w:r>
    </w:p>
    <w:p w:rsidR="00000000" w:rsidRDefault="003E5AFF">
      <w:pPr>
        <w:pStyle w:val="NormalWeb"/>
        <w:spacing w:before="120" w:beforeAutospacing="0" w:after="0" w:afterAutospacing="0"/>
      </w:pPr>
      <w:r>
        <w:rPr>
          <w:rFonts w:ascii="Arial" w:hAnsi="Arial" w:cs="Arial"/>
        </w:rPr>
        <w:t>Equity investments into Chile from abroad are subject to the requirement that investors provide Chile_s Central Bank with information related to such equity investments and conduct any operation</w:t>
      </w:r>
      <w:r>
        <w:rPr>
          <w:rFonts w:ascii="Arial" w:hAnsi="Arial" w:cs="Arial"/>
        </w:rPr>
        <w:t>s in connection with the repatriation of investments and earnings on them within Chile_s Mercado Cambiario Formal, or Formal Exchange Market. See _Exchange Controls._ Holders of ADSs are entitled to receive dividends on the underlying shares to the same ex</w:t>
      </w:r>
      <w:r>
        <w:rPr>
          <w:rFonts w:ascii="Arial" w:hAnsi="Arial" w:cs="Arial"/>
        </w:rPr>
        <w:t>tent as the holders of shares. Dividends received by holders of ADSs will be converted into U.S. dollars and distributed net of foreign currency exchange fees and expenses and fees of the Depositary and will be subject to Chilean withholding tax, currently</w:t>
      </w:r>
      <w:r>
        <w:rPr>
          <w:rFonts w:ascii="Arial" w:hAnsi="Arial" w:cs="Arial"/>
        </w:rPr>
        <w:t xml:space="preserve"> imposed at a rate of 35% (subject to credits in certain cases as described under _Taxation_Material United States Federal Income Tax Considerations_U.S. Holders_). If for any reason, including changes in Chilean laws or regulations, the Depositary were un</w:t>
      </w:r>
      <w:r>
        <w:rPr>
          <w:rFonts w:ascii="Arial" w:hAnsi="Arial" w:cs="Arial"/>
        </w:rPr>
        <w:t xml:space="preserve">able to convert Chilean pesos to U.S. dollars, investors may receive dividends and other distributions, if any, in Chilean pesos. </w:t>
      </w:r>
    </w:p>
    <w:p w:rsidR="00000000" w:rsidRDefault="003E5AFF">
      <w:pPr>
        <w:pStyle w:val="NormalWeb"/>
        <w:spacing w:before="120" w:beforeAutospacing="0" w:after="0" w:afterAutospacing="0"/>
      </w:pPr>
      <w:r>
        <w:rPr>
          <w:rFonts w:ascii="Arial" w:hAnsi="Arial" w:cs="Arial"/>
        </w:rPr>
        <w:t>Additional Chilean restrictions applicable to the holders of the ADSs and other foreign investors in Chile could be imposed i</w:t>
      </w:r>
      <w:r>
        <w:rPr>
          <w:rFonts w:ascii="Arial" w:hAnsi="Arial" w:cs="Arial"/>
        </w:rPr>
        <w:t>n the future. The Central Bank of Chile has the authority to impose at any time certain controls, restrictions or obligations on foreign investors in Chile. Such restrictions could include, but are not limited to, the requirement to obtain the Central Bank</w:t>
      </w:r>
      <w:r>
        <w:rPr>
          <w:rFonts w:ascii="Arial" w:hAnsi="Arial" w:cs="Arial"/>
        </w:rPr>
        <w:t xml:space="preserve"> of Chile_s prior approval for the repatriation of the proceeds from the disposition of shares underlying the ADSs or the payment of dividends. We cannot advise you as to the duration or impact of any such restrictions if imposed. </w:t>
      </w:r>
    </w:p>
    <w:p w:rsidR="00000000" w:rsidRDefault="003E5AFF">
      <w:pPr>
        <w:pStyle w:val="NormalWeb"/>
        <w:spacing w:before="120" w:beforeAutospacing="0" w:after="0" w:afterAutospacing="0"/>
      </w:pPr>
      <w:r>
        <w:rPr>
          <w:rFonts w:ascii="Arial" w:hAnsi="Arial" w:cs="Arial"/>
          <w:b/>
          <w:bCs/>
          <w:i/>
          <w:iCs/>
        </w:rPr>
        <w:t>Currency devaluations, f</w:t>
      </w:r>
      <w:r>
        <w:rPr>
          <w:rFonts w:ascii="Arial" w:hAnsi="Arial" w:cs="Arial"/>
          <w:b/>
          <w:bCs/>
          <w:i/>
          <w:iCs/>
        </w:rPr>
        <w:t xml:space="preserve">oreign exchange fluctuations and foreign currency conversion costs may have a material adverse effect on the U.S. dollar value of any cash distributions made to ADS holders in respect of ADSs. </w:t>
      </w:r>
    </w:p>
    <w:p w:rsidR="00000000" w:rsidRDefault="003E5AFF">
      <w:pPr>
        <w:pStyle w:val="NormalWeb"/>
        <w:spacing w:before="120" w:beforeAutospacing="0" w:after="0" w:afterAutospacing="0"/>
      </w:pPr>
      <w:r>
        <w:rPr>
          <w:rFonts w:ascii="Arial" w:hAnsi="Arial" w:cs="Arial"/>
        </w:rPr>
        <w:t>If the value of the Chilean peso falls relative to the U.S. do</w:t>
      </w:r>
      <w:r>
        <w:rPr>
          <w:rFonts w:ascii="Arial" w:hAnsi="Arial" w:cs="Arial"/>
        </w:rPr>
        <w:t>llar, the value of the ADSs and any distributions to be received from the Depositary for the ADSs could be materially and adversely affected. Cash distributions made in respect of the ADSs are received by the Depositary in Chilean pesos, are then converted</w:t>
      </w:r>
      <w:r>
        <w:rPr>
          <w:rFonts w:ascii="Arial" w:hAnsi="Arial" w:cs="Arial"/>
        </w:rPr>
        <w:t xml:space="preserve"> by the Depositary into U.S. dollars at the then prevailing exchange rate and distributed to the holders of ADSs. In addition, the Depositary will incur foreign currency conversion costs (to be borne by the holders of the ADSs) in connection with the forei</w:t>
      </w:r>
      <w:r>
        <w:rPr>
          <w:rFonts w:ascii="Arial" w:hAnsi="Arial" w:cs="Arial"/>
        </w:rPr>
        <w:t xml:space="preserve">gn currency conversion and subsequent distribution of dividends or other payments with respect to ADSs.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- 53 - </w:t>
      </w:r>
    </w:p>
    <w:p w:rsidR="00000000" w:rsidRDefault="003E5AFF">
      <w:pPr>
        <w:rPr>
          <w:rFonts w:eastAsia="Times New Roman" w:cs="Times New Roman"/>
        </w:rPr>
      </w:pPr>
      <w:r>
        <w:rPr>
          <w:rFonts w:eastAsia="Times New Roman" w:cs="Times New Roman"/>
        </w:rPr>
        <w:pict>
          <v:rect id="_x0000_i1087" style="width:441.9pt;height:3pt" o:hralign="center" o:hrstd="t" o:hrnoshade="t" o:hr="t" fillcolor="#999" stroked="f"/>
        </w:pict>
      </w:r>
    </w:p>
    <w:p w:rsidR="00000000" w:rsidRDefault="003E5AFF">
      <w:pPr>
        <w:pStyle w:val="Heading5"/>
        <w:rPr>
          <w:rFonts w:eastAsia="Times New Roman" w:cs="Times New Roman"/>
        </w:rPr>
      </w:pPr>
      <w:hyperlink r:id="rId104"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b/>
          <w:bCs/>
          <w:i/>
          <w:iCs/>
        </w:rPr>
        <w:t xml:space="preserve">ADS holders may not be able to effect service of process on, or enforce judgments or bring original actions against, us, our directors or our executive officers, which may limit the ability of holders of ADSs to seek relief against us. </w:t>
      </w:r>
    </w:p>
    <w:p w:rsidR="00000000" w:rsidRDefault="003E5AFF">
      <w:pPr>
        <w:pStyle w:val="NormalWeb"/>
        <w:spacing w:before="120" w:beforeAutospacing="0" w:after="0" w:afterAutospacing="0"/>
      </w:pPr>
      <w:r>
        <w:rPr>
          <w:rFonts w:ascii="Arial" w:hAnsi="Arial" w:cs="Arial"/>
        </w:rPr>
        <w:t>We are</w:t>
      </w:r>
      <w:r>
        <w:rPr>
          <w:rFonts w:ascii="Arial" w:hAnsi="Arial" w:cs="Arial"/>
        </w:rPr>
        <w:t xml:space="preserve"> a Chilean corporation. None of our directors are residents of the United States and most of our executive officers reside outside the United States. In addition, a substantial portion of our assets and the assets of our directors and executive officers ar</w:t>
      </w:r>
      <w:r>
        <w:rPr>
          <w:rFonts w:ascii="Arial" w:hAnsi="Arial" w:cs="Arial"/>
        </w:rPr>
        <w:t xml:space="preserve">e located outside the United States. As a result, it may be difficult for ADS holders to effect service of process outside Chile upon us or our directors and executive officers or to bring an action against us or such persons in the United States or Chile </w:t>
      </w:r>
      <w:r>
        <w:rPr>
          <w:rFonts w:ascii="Arial" w:hAnsi="Arial" w:cs="Arial"/>
        </w:rPr>
        <w:t xml:space="preserve">to enforce liabilities based on U.S. federal securities laws. It may also be difficult for ADS holders to enforce in the United States or in Chilean courts money judgments obtained in United States courts against us or our directors and executive officers </w:t>
      </w:r>
      <w:r>
        <w:rPr>
          <w:rFonts w:ascii="Arial" w:hAnsi="Arial" w:cs="Arial"/>
        </w:rPr>
        <w:t>based on civil liability provisions of the U.S. federal securities laws. If a U.S. court grants a final money judgment in an action based on the civil liability provisions of the federal securities laws of the United States, enforceability of this money ju</w:t>
      </w:r>
      <w:r>
        <w:rPr>
          <w:rFonts w:ascii="Arial" w:hAnsi="Arial" w:cs="Arial"/>
        </w:rPr>
        <w:t>dgment in Chile will be subject to the obtaining of the relevant _exequatur_ (i.e., recognition and enforcement of the foreign judgment) according to Chilean civil procedure law currently in force, and consequently, subject to the satisfaction of certain f</w:t>
      </w:r>
      <w:r>
        <w:rPr>
          <w:rFonts w:ascii="Arial" w:hAnsi="Arial" w:cs="Arial"/>
        </w:rPr>
        <w:t>actors. The most important of these factors are the existence of reciprocity, the absence of a conflicting judgment by a Chilean court relating to the same parties and arising from the same facts and circumstances and the Chilean courts_ determination that</w:t>
      </w:r>
      <w:r>
        <w:rPr>
          <w:rFonts w:ascii="Arial" w:hAnsi="Arial" w:cs="Arial"/>
        </w:rPr>
        <w:t xml:space="preserve"> the U.S. courts had jurisdiction, that process was appropriately served on the defendant and that enforcement would not violate Chilean public policy. Failure to satisfy any of such requirements may result in non-enforcement of your rights. </w:t>
      </w:r>
    </w:p>
    <w:p w:rsidR="00000000" w:rsidRDefault="003E5AFF">
      <w:pPr>
        <w:pStyle w:val="NormalWeb"/>
        <w:spacing w:before="120" w:beforeAutospacing="0" w:after="0" w:afterAutospacing="0"/>
      </w:pPr>
      <w:r>
        <w:rPr>
          <w:rFonts w:ascii="Arial" w:hAnsi="Arial" w:cs="Arial"/>
          <w:b/>
          <w:bCs/>
          <w:i/>
          <w:iCs/>
        </w:rPr>
        <w:t>Preemptive ri</w:t>
      </w:r>
      <w:r>
        <w:rPr>
          <w:rFonts w:ascii="Arial" w:hAnsi="Arial" w:cs="Arial"/>
          <w:b/>
          <w:bCs/>
          <w:i/>
          <w:iCs/>
        </w:rPr>
        <w:t xml:space="preserve">ghts may be unavailable to ADS holders or U.S. holders of shares in certain circumstances and, as a result, U.S. owners of shares or ADSs would be subject to potential dilution. </w:t>
      </w:r>
    </w:p>
    <w:p w:rsidR="00000000" w:rsidRDefault="003E5AFF">
      <w:pPr>
        <w:pStyle w:val="NormalWeb"/>
        <w:spacing w:before="120" w:beforeAutospacing="0" w:after="0" w:afterAutospacing="0"/>
      </w:pPr>
      <w:r>
        <w:rPr>
          <w:rFonts w:ascii="Arial" w:hAnsi="Arial" w:cs="Arial"/>
        </w:rPr>
        <w:t xml:space="preserve">The </w:t>
      </w:r>
      <w:r>
        <w:rPr>
          <w:rFonts w:ascii="Arial" w:hAnsi="Arial" w:cs="Arial"/>
          <w:i/>
          <w:iCs/>
        </w:rPr>
        <w:t>Ley sobre Sociedades An_nimas</w:t>
      </w:r>
      <w:r>
        <w:rPr>
          <w:rFonts w:ascii="Arial" w:hAnsi="Arial" w:cs="Arial"/>
        </w:rPr>
        <w:t xml:space="preserve"> No. 18,046 and the </w:t>
      </w:r>
      <w:r>
        <w:rPr>
          <w:rFonts w:ascii="Arial" w:hAnsi="Arial" w:cs="Arial"/>
          <w:i/>
          <w:iCs/>
        </w:rPr>
        <w:t>Reglamento de Sociedades</w:t>
      </w:r>
      <w:r>
        <w:rPr>
          <w:rFonts w:ascii="Arial" w:hAnsi="Arial" w:cs="Arial"/>
          <w:i/>
          <w:iCs/>
        </w:rPr>
        <w:t xml:space="preserve"> An_nimas</w:t>
      </w:r>
      <w:r>
        <w:rPr>
          <w:rFonts w:ascii="Arial" w:hAnsi="Arial" w:cs="Arial"/>
        </w:rPr>
        <w:t>, which we refer to in this document collectively as the _Chilean Corporations Law,_ require us, whenever we issue new shares for cash and sell treasury shares, to grant preemptive rights to all of our shareholders (including shares represented by</w:t>
      </w:r>
      <w:r>
        <w:rPr>
          <w:rFonts w:ascii="Arial" w:hAnsi="Arial" w:cs="Arial"/>
        </w:rPr>
        <w:t xml:space="preserve"> ADSs), giving them the right to purchase a sufficient number of shares to maintain their existing ownership percentage. It is possible that, in connection with any future issuances of shares, we may not be able to offer shares to U.S. holders of shares or</w:t>
      </w:r>
      <w:r>
        <w:rPr>
          <w:rFonts w:ascii="Arial" w:hAnsi="Arial" w:cs="Arial"/>
        </w:rPr>
        <w:t xml:space="preserve"> ADSs pursuant to preemptive rights granted to our shareholders and, as a result such U.S. holders of shares or ADSs would be subject to potential dilution. </w:t>
      </w:r>
    </w:p>
    <w:p w:rsidR="00000000" w:rsidRDefault="003E5AFF">
      <w:pPr>
        <w:pStyle w:val="NormalWeb"/>
        <w:spacing w:before="120" w:beforeAutospacing="0" w:after="0" w:afterAutospacing="0"/>
      </w:pPr>
      <w:r>
        <w:rPr>
          <w:rFonts w:ascii="Arial" w:hAnsi="Arial" w:cs="Arial"/>
        </w:rPr>
        <w:t>We will not be able to offer shares to ADS holders or U.S. holders of shares pursuant to preemptiv</w:t>
      </w:r>
      <w:r>
        <w:rPr>
          <w:rFonts w:ascii="Arial" w:hAnsi="Arial" w:cs="Arial"/>
        </w:rPr>
        <w:t>e rights that we grant to our shareholders in connection with any future issuance of shares or sale of treasury shares unless a registration statement under the U.S. Securities Act of 1933, as amended (the _Securities Act_), is effective with respect to su</w:t>
      </w:r>
      <w:r>
        <w:rPr>
          <w:rFonts w:ascii="Arial" w:hAnsi="Arial" w:cs="Arial"/>
        </w:rPr>
        <w:t xml:space="preserve">ch rights and shares, or an exemption from the registration requirements of the Securities Act is available. </w:t>
      </w:r>
    </w:p>
    <w:p w:rsidR="00000000" w:rsidRDefault="003E5AFF">
      <w:pPr>
        <w:pStyle w:val="NormalWeb"/>
        <w:spacing w:before="120" w:beforeAutospacing="0" w:after="0" w:afterAutospacing="0"/>
      </w:pPr>
      <w:r>
        <w:rPr>
          <w:rFonts w:ascii="Arial" w:hAnsi="Arial" w:cs="Arial"/>
        </w:rPr>
        <w:t xml:space="preserve">Such a registration statement may not be filed and an exemption from the registration requirements of the Securities Act may not be available. If </w:t>
      </w:r>
      <w:r>
        <w:rPr>
          <w:rFonts w:ascii="Arial" w:hAnsi="Arial" w:cs="Arial"/>
        </w:rPr>
        <w:t>owners of ADSs are unable to exercise preemptive rights because a registration statement has not been filed, the Depositary will attempt to sell such owners_ preemptive rights and distribute the net proceeds of the sale (net of the depositary_s fees and ex</w:t>
      </w:r>
      <w:r>
        <w:rPr>
          <w:rFonts w:ascii="Arial" w:hAnsi="Arial" w:cs="Arial"/>
        </w:rPr>
        <w:t>penses) to the holders of the ADSs, provided that a secondary market for such rights exists and a premium can be recognized over the cost of any such sale. It is possible that a secondary market in preemptive rights may not develop in connection with any f</w:t>
      </w:r>
      <w:r>
        <w:rPr>
          <w:rFonts w:ascii="Arial" w:hAnsi="Arial" w:cs="Arial"/>
        </w:rPr>
        <w:t xml:space="preserve">uture issuance of shares or, if such a market does develop, a premium may not be able to be realized on their sale.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- 54 - </w:t>
      </w:r>
    </w:p>
    <w:p w:rsidR="00000000" w:rsidRDefault="003E5AFF">
      <w:pPr>
        <w:rPr>
          <w:rFonts w:eastAsia="Times New Roman" w:cs="Times New Roman"/>
        </w:rPr>
      </w:pPr>
      <w:r>
        <w:rPr>
          <w:rFonts w:eastAsia="Times New Roman" w:cs="Times New Roman"/>
        </w:rPr>
        <w:pict>
          <v:rect id="_x0000_i1088" style="width:441.9pt;height:3pt" o:hralign="center" o:hrstd="t" o:hrnoshade="t" o:hr="t" fillcolor="#999" stroked="f"/>
        </w:pict>
      </w:r>
    </w:p>
    <w:p w:rsidR="00000000" w:rsidRDefault="003E5AFF">
      <w:pPr>
        <w:pStyle w:val="Heading5"/>
        <w:rPr>
          <w:rFonts w:eastAsia="Times New Roman" w:cs="Times New Roman"/>
        </w:rPr>
      </w:pPr>
      <w:hyperlink r:id="rId10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If preemptive rights cannot be sold, they will expire, and hold</w:t>
      </w:r>
      <w:r>
        <w:rPr>
          <w:rFonts w:ascii="Arial" w:hAnsi="Arial" w:cs="Arial"/>
        </w:rPr>
        <w:t xml:space="preserve">ers of ADSs will not realize any value from the grant of such preemptive rights. In either case, the equity interest in us of the holders of ADSs would be diluted proportionately. </w:t>
      </w:r>
    </w:p>
    <w:p w:rsidR="00000000" w:rsidRDefault="003E5AFF">
      <w:pPr>
        <w:pStyle w:val="NormalWeb"/>
        <w:spacing w:before="120" w:beforeAutospacing="0" w:after="0" w:afterAutospacing="0"/>
      </w:pPr>
      <w:r>
        <w:rPr>
          <w:rFonts w:ascii="Arial" w:hAnsi="Arial" w:cs="Arial"/>
          <w:b/>
          <w:bCs/>
          <w:i/>
          <w:iCs/>
        </w:rPr>
        <w:t>Substantial sales of shares of our common stock after the global offering i</w:t>
      </w:r>
      <w:r>
        <w:rPr>
          <w:rFonts w:ascii="Arial" w:hAnsi="Arial" w:cs="Arial"/>
          <w:b/>
          <w:bCs/>
          <w:i/>
          <w:iCs/>
        </w:rPr>
        <w:t xml:space="preserve">n connection with the preemptive rights offering and any shares of our common stock that we decide to sell in the event all of the preemptive rights are not exercised could result in a decline in the market price of the shares of our common stock. </w:t>
      </w:r>
    </w:p>
    <w:p w:rsidR="00000000" w:rsidRDefault="003E5AFF">
      <w:pPr>
        <w:pStyle w:val="NormalWeb"/>
        <w:spacing w:before="120" w:beforeAutospacing="0" w:after="0" w:afterAutospacing="0"/>
      </w:pPr>
      <w:r>
        <w:rPr>
          <w:rFonts w:ascii="Arial" w:hAnsi="Arial" w:cs="Arial"/>
        </w:rPr>
        <w:t>The glo</w:t>
      </w:r>
      <w:r>
        <w:rPr>
          <w:rFonts w:ascii="Arial" w:hAnsi="Arial" w:cs="Arial"/>
        </w:rPr>
        <w:t>bal offering is part of a capital increase of 270,000,000 shares of our common stock approved by our shareholders on April 29, 2011, of which 27,000,000 shares, or 10% of such capital increase, have been reserved for our employee stock option plan. In conn</w:t>
      </w:r>
      <w:r>
        <w:rPr>
          <w:rFonts w:ascii="Arial" w:hAnsi="Arial" w:cs="Arial"/>
        </w:rPr>
        <w:t>ection with the capital increase, we are required by Chilean law to make a preemptive rights offering to our existing shareholders of the remaining 243,000,000 shares of our common stock. In the preemptive rights offering, we will offer existing holders of</w:t>
      </w:r>
      <w:r>
        <w:rPr>
          <w:rFonts w:ascii="Arial" w:hAnsi="Arial" w:cs="Arial"/>
        </w:rPr>
        <w:t xml:space="preserve"> shares of our common stock the right to subscribe for newly issued shares of common stock at the price at which shares of common stock, in the form of shares, are being offered in Chile. The Company plans to commence the global offering prior to the comme</w:t>
      </w:r>
      <w:r>
        <w:rPr>
          <w:rFonts w:ascii="Arial" w:hAnsi="Arial" w:cs="Arial"/>
        </w:rPr>
        <w:t>ncement of the preemptive rights offering. The preemptive rights offering is currently expected to commence on the day following the pricing date for the global offering and must remain open for 30 days. Our Controlling Shareholders have indicated their in</w:t>
      </w:r>
      <w:r>
        <w:rPr>
          <w:rFonts w:ascii="Arial" w:hAnsi="Arial" w:cs="Arial"/>
        </w:rPr>
        <w:t xml:space="preserve">tention to waive their rights with respect to up to 105,000,000 shares of common stock subject to such preemptive rights offering and these shares have been made available for the global offering and the international underwriters_ over-allotment option. </w:t>
      </w:r>
    </w:p>
    <w:p w:rsidR="00000000" w:rsidRDefault="003E5AFF">
      <w:pPr>
        <w:pStyle w:val="NormalWeb"/>
        <w:spacing w:before="120" w:beforeAutospacing="0" w:after="0" w:afterAutospacing="0"/>
      </w:pPr>
      <w:r>
        <w:rPr>
          <w:rFonts w:ascii="Arial" w:hAnsi="Arial" w:cs="Arial"/>
        </w:rPr>
        <w:t>Any newly issued shares of our common stock in respect of which our existing shareholders have waived or not exercised within the required time period their preemptive rights will also be subject to our lock-up agreement with the international underwriters</w:t>
      </w:r>
      <w:r>
        <w:rPr>
          <w:rFonts w:ascii="Arial" w:hAnsi="Arial" w:cs="Arial"/>
        </w:rPr>
        <w:t>. See _Underwriting_ elsewhere in this prospectus. However, with the prior written consent of J.P. Morgan Securities LLC and UBS Securities LLC, as representatives of the international underwriters, we are entitled to and may sell, to non-U.S. third partie</w:t>
      </w:r>
      <w:r>
        <w:rPr>
          <w:rFonts w:ascii="Arial" w:hAnsi="Arial" w:cs="Arial"/>
        </w:rPr>
        <w:t>s in Chile and pursuant to Regulation S, any such shares for which preemptive rights have not been exercised by our existing shareholders. Assuming such consent is granted by the representatives, during a 30-day period following the expiration of the preem</w:t>
      </w:r>
      <w:r>
        <w:rPr>
          <w:rFonts w:ascii="Arial" w:hAnsi="Arial" w:cs="Arial"/>
        </w:rPr>
        <w:t>ptive rights offering, we would not be permitted to sell these newly issued shares of our common stock to third parties at a lower price or on more favorable terms than those offered in the preemptive rights offering. After this 30-day period, assuming the</w:t>
      </w:r>
      <w:r>
        <w:rPr>
          <w:rFonts w:ascii="Arial" w:hAnsi="Arial" w:cs="Arial"/>
        </w:rPr>
        <w:t xml:space="preserve"> prior consent of the representatives of the international underwriters, these newly issued shares of our common stock may be offered to third parties at a higher price and more favorable conditions than those offered in the preemptive rights offering, pro</w:t>
      </w:r>
      <w:r>
        <w:rPr>
          <w:rFonts w:ascii="Arial" w:hAnsi="Arial" w:cs="Arial"/>
        </w:rPr>
        <w:t xml:space="preserve">vided such offering is made in a stock exchange. </w:t>
      </w:r>
    </w:p>
    <w:p w:rsidR="00000000" w:rsidRDefault="003E5AFF">
      <w:pPr>
        <w:pStyle w:val="NormalWeb"/>
        <w:spacing w:before="120" w:beforeAutospacing="0" w:after="0" w:afterAutospacing="0"/>
      </w:pPr>
      <w:r>
        <w:rPr>
          <w:rFonts w:ascii="Arial" w:hAnsi="Arial" w:cs="Arial"/>
        </w:rPr>
        <w:t>As a result, sales of these preemptive rights or the underlying shares of our common stock, or sales by us (with the consent of the international underwriters) of newly issued shares of our common stock not</w:t>
      </w:r>
      <w:r>
        <w:rPr>
          <w:rFonts w:ascii="Arial" w:hAnsi="Arial" w:cs="Arial"/>
        </w:rPr>
        <w:t xml:space="preserve"> acquired by our existing shareholders in the preemptive rights offering may negatively affect the market price of the shares of our common stock. </w:t>
      </w:r>
    </w:p>
    <w:p w:rsidR="00000000" w:rsidRDefault="003E5AFF">
      <w:pPr>
        <w:pStyle w:val="NormalWeb"/>
        <w:spacing w:before="120" w:beforeAutospacing="0" w:after="0" w:afterAutospacing="0"/>
      </w:pPr>
      <w:r>
        <w:rPr>
          <w:rFonts w:ascii="Arial" w:hAnsi="Arial" w:cs="Arial"/>
          <w:b/>
          <w:bCs/>
          <w:i/>
          <w:iCs/>
        </w:rPr>
        <w:t>ADS holders may not be able to exercise redemption rights that are granted by the Chilean corporations Law t</w:t>
      </w:r>
      <w:r>
        <w:rPr>
          <w:rFonts w:ascii="Arial" w:hAnsi="Arial" w:cs="Arial"/>
          <w:b/>
          <w:bCs/>
          <w:i/>
          <w:iCs/>
        </w:rPr>
        <w:t xml:space="preserve">o registered shareholders of publicly traded Chilean corporations. </w:t>
      </w:r>
    </w:p>
    <w:p w:rsidR="00000000" w:rsidRDefault="003E5AFF">
      <w:pPr>
        <w:pStyle w:val="NormalWeb"/>
        <w:spacing w:before="120" w:beforeAutospacing="0" w:after="0" w:afterAutospacing="0"/>
      </w:pPr>
      <w:r>
        <w:rPr>
          <w:rFonts w:ascii="Arial" w:hAnsi="Arial" w:cs="Arial"/>
        </w:rPr>
        <w:t xml:space="preserve">Under </w:t>
      </w:r>
      <w:r>
        <w:rPr>
          <w:rFonts w:ascii="Arial" w:hAnsi="Arial" w:cs="Arial"/>
          <w:i/>
          <w:iCs/>
        </w:rPr>
        <w:t>Ley sobre Sociedades An_nimas No. 18,046</w:t>
      </w:r>
      <w:r>
        <w:rPr>
          <w:rFonts w:ascii="Arial" w:hAnsi="Arial" w:cs="Arial"/>
        </w:rPr>
        <w:t>, as amended (the _Chilean Corporations Law_), if any of the following resolutions is adopted by our shareholders at any extraordinary shareho</w:t>
      </w:r>
      <w:r>
        <w:rPr>
          <w:rFonts w:ascii="Arial" w:hAnsi="Arial" w:cs="Arial"/>
        </w:rPr>
        <w:t xml:space="preserve">lders meeting, dissenting shareholders have the right of redemption and can require 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- 55 - </w:t>
      </w:r>
    </w:p>
    <w:p w:rsidR="00000000" w:rsidRDefault="003E5AFF">
      <w:pPr>
        <w:rPr>
          <w:rFonts w:eastAsia="Times New Roman" w:cs="Times New Roman"/>
        </w:rPr>
      </w:pPr>
      <w:r>
        <w:rPr>
          <w:rFonts w:eastAsia="Times New Roman" w:cs="Times New Roman"/>
        </w:rPr>
        <w:pict>
          <v:rect id="_x0000_i1089" style="width:441.9pt;height:3pt" o:hralign="center" o:hrstd="t" o:hrnoshade="t" o:hr="t" fillcolor="#999" stroked="f"/>
        </w:pict>
      </w:r>
    </w:p>
    <w:p w:rsidR="00000000" w:rsidRDefault="003E5AFF">
      <w:pPr>
        <w:pStyle w:val="Heading5"/>
        <w:rPr>
          <w:rFonts w:eastAsia="Times New Roman" w:cs="Times New Roman"/>
        </w:rPr>
      </w:pPr>
      <w:hyperlink r:id="rId10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to repurchase their shares, subject to the fulfillment of certain terms and conditions. A dissenting shareholder is a shareholder who either attends the shareholders meeting and votes against a resolution which results in a redemption right or, if absent f</w:t>
      </w:r>
      <w:r>
        <w:rPr>
          <w:rFonts w:ascii="Arial" w:hAnsi="Arial" w:cs="Arial"/>
        </w:rPr>
        <w:t xml:space="preserve">rom the shareholders meeting, a shareholder who notifies the company in writing within 30 days of the shareholders meeting of his opposition to the resolution and that he is exercising his redemption right. </w:t>
      </w:r>
    </w:p>
    <w:p w:rsidR="00000000" w:rsidRDefault="003E5AFF">
      <w:pPr>
        <w:pStyle w:val="NormalWeb"/>
        <w:spacing w:before="120" w:beforeAutospacing="0" w:after="0" w:afterAutospacing="0"/>
        <w:ind w:left="238" w:hanging="245"/>
      </w:pPr>
      <w:r>
        <w:rPr>
          <w:rFonts w:ascii="Arial" w:hAnsi="Arial" w:cs="Arial"/>
        </w:rPr>
        <w:t>The resolutions that result in a shareholder_s r</w:t>
      </w:r>
      <w:r>
        <w:rPr>
          <w:rFonts w:ascii="Arial" w:hAnsi="Arial" w:cs="Arial"/>
        </w:rPr>
        <w:t xml:space="preserve">edemption right are the following: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our transformation into a different type of legal entity;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our merger with or into another company;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disposition of 50% or more of our assets, whether or not that sale includes our liabilities or the proposal or amendment of any business plan involving the transfer of more than 50% of our assets; the sale of 50% or more of the assets of an affiliate w</w:t>
            </w:r>
            <w:r>
              <w:rPr>
                <w:rFonts w:ascii="Arial" w:hAnsi="Arial" w:cs="Arial"/>
              </w:rPr>
              <w:t xml:space="preserve">hich represents at least 20% of the assets of the corporation, as well as any sale of its shares which would result in us ceasing to be in control of such subsidiary;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granting of security interests or personal guarantees to secure or guarantee third parties_ obligations exceeding 50% of our assets, except with regard to security interests or personal guarantees are granted to secure or guarantee obligations of our s</w:t>
            </w:r>
            <w:r>
              <w:rPr>
                <w:rFonts w:ascii="Arial" w:hAnsi="Arial" w:cs="Arial"/>
              </w:rPr>
              <w:t xml:space="preserve">ubsidiaries;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creation of preferential rights for a class of shares or an amendment to those already existing, in which case the redemption right only accrues to dissenting shareholders of the class or classes of shares adversely affected;</w:t>
            </w:r>
            <w:r>
              <w:rPr>
                <w:rFonts w:ascii="Arial" w:hAnsi="Arial" w:cs="Arial"/>
              </w:rPr>
              <w:t xml:space="preserv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amendment of our Bylaws to correct any formal defect in our incorporation, which might cause our Bylaws to be null and void, or any amendment of our Bylaws that grants a shareholder a redemption right;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approval by our shareholders of our ceasing to be subject to the regulations applicable to publicly held corporations in the event we no longer meet the requirements under Chilean law to qualify as such a corporation;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any other causes as may be established by Chilean law and our Bylaws (our Bylaws currently do not establish any instances). </w:t>
            </w:r>
          </w:p>
        </w:tc>
      </w:tr>
    </w:tbl>
    <w:p w:rsidR="00000000" w:rsidRDefault="003E5AFF">
      <w:pPr>
        <w:pStyle w:val="NormalWeb"/>
        <w:spacing w:before="120" w:beforeAutospacing="0" w:after="0" w:afterAutospacing="0"/>
      </w:pPr>
      <w:r>
        <w:rPr>
          <w:rFonts w:ascii="Arial" w:hAnsi="Arial" w:cs="Arial"/>
        </w:rPr>
        <w:t>In addition, shareholders of a publicly held corporation have a redemption right if a person acquires two-thirds or more of the out</w:t>
      </w:r>
      <w:r>
        <w:rPr>
          <w:rFonts w:ascii="Arial" w:hAnsi="Arial" w:cs="Arial"/>
        </w:rPr>
        <w:t xml:space="preserve">standing voting stock of the company and does not make a tender offer for the remaining shares within 30 days of that acquisition at a price not lower than the price that would be paid shareholders exercising their redemption rights. However, the right of </w:t>
      </w:r>
      <w:r>
        <w:rPr>
          <w:rFonts w:ascii="Arial" w:hAnsi="Arial" w:cs="Arial"/>
        </w:rPr>
        <w:t xml:space="preserve">redemption described in the previous sentence does not apply in the event the company reduces its capital as a result of not having fully subscribed and paid an increase of capital within the statutory term. </w:t>
      </w:r>
    </w:p>
    <w:p w:rsidR="00000000" w:rsidRDefault="003E5AFF">
      <w:pPr>
        <w:pStyle w:val="NormalWeb"/>
        <w:spacing w:before="120" w:beforeAutospacing="0" w:after="0" w:afterAutospacing="0"/>
      </w:pPr>
      <w:r>
        <w:rPr>
          <w:rFonts w:ascii="Arial" w:hAnsi="Arial" w:cs="Arial"/>
        </w:rPr>
        <w:t>Finally, shareholders of a publicly held corpor</w:t>
      </w:r>
      <w:r>
        <w:rPr>
          <w:rFonts w:ascii="Arial" w:hAnsi="Arial" w:cs="Arial"/>
        </w:rPr>
        <w:t xml:space="preserve">ation have the right of redemption within 30 days after the date when the controller acquires more than 95% of the shares of the company. These redemption rights must be exercised within 30 days. </w:t>
      </w:r>
    </w:p>
    <w:p w:rsidR="00000000" w:rsidRDefault="003E5AFF">
      <w:pPr>
        <w:pStyle w:val="NormalWeb"/>
        <w:spacing w:before="120" w:beforeAutospacing="0" w:after="0" w:afterAutospacing="0"/>
      </w:pPr>
      <w:r>
        <w:rPr>
          <w:rFonts w:ascii="Arial" w:hAnsi="Arial" w:cs="Arial"/>
        </w:rPr>
        <w:t>ADS holders own a beneficial interest in shares held by the</w:t>
      </w:r>
      <w:r>
        <w:rPr>
          <w:rFonts w:ascii="Arial" w:hAnsi="Arial" w:cs="Arial"/>
        </w:rPr>
        <w:t xml:space="preserve"> Depositary and, accordingly, they are not shareholders of the Company. The Depositary will not exercise redemption rights on behalf of ADS holders. Accordingly, in order to ensure a valid exercise of redemption rights, an ADS holder would have to cancel h</w:t>
      </w:r>
      <w:r>
        <w:rPr>
          <w:rFonts w:ascii="Arial" w:hAnsi="Arial" w:cs="Arial"/>
        </w:rPr>
        <w:t xml:space="preserve">is ADSs and become a registered shareholder of the Company no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- 56 - </w:t>
      </w:r>
    </w:p>
    <w:p w:rsidR="00000000" w:rsidRDefault="003E5AFF">
      <w:pPr>
        <w:rPr>
          <w:rFonts w:eastAsia="Times New Roman" w:cs="Times New Roman"/>
        </w:rPr>
      </w:pPr>
      <w:r>
        <w:rPr>
          <w:rFonts w:eastAsia="Times New Roman" w:cs="Times New Roman"/>
        </w:rPr>
        <w:pict>
          <v:rect id="_x0000_i1090" style="width:441.9pt;height:3pt" o:hralign="center" o:hrstd="t" o:hrnoshade="t" o:hr="t" fillcolor="#999" stroked="f"/>
        </w:pict>
      </w:r>
    </w:p>
    <w:p w:rsidR="00000000" w:rsidRDefault="003E5AFF">
      <w:pPr>
        <w:pStyle w:val="Heading5"/>
        <w:rPr>
          <w:rFonts w:eastAsia="Times New Roman" w:cs="Times New Roman"/>
        </w:rPr>
      </w:pPr>
      <w:hyperlink r:id="rId10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later than the date whi</w:t>
      </w:r>
      <w:r>
        <w:rPr>
          <w:rFonts w:ascii="Arial" w:hAnsi="Arial" w:cs="Arial"/>
        </w:rPr>
        <w:t>ch is five Chilean business days before the shareholders_ meeting at which the vote which would give rise to redemption rights is taken, or the applicable record date for redemption rights that arise other than as a result of a shareholder vote. Redemption</w:t>
      </w:r>
      <w:r>
        <w:rPr>
          <w:rFonts w:ascii="Arial" w:hAnsi="Arial" w:cs="Arial"/>
        </w:rPr>
        <w:t xml:space="preserve"> rights must then be exercised in the manner prescribed in the notice to shareholders that is required to be sent to shareholders of Chilean public companies advising such holders of their right of redemption. If an event occurs that gives rise to redempti</w:t>
      </w:r>
      <w:r>
        <w:rPr>
          <w:rFonts w:ascii="Arial" w:hAnsi="Arial" w:cs="Arial"/>
        </w:rPr>
        <w:t xml:space="preserve">on rights, ADS holders will have a limited time to cancel their ADSs and to become registered shareholders of the Company prior to the record date for the shareholders meeting or other event giving rise to such redemption rights. If an ADS holder does not </w:t>
      </w:r>
      <w:r>
        <w:rPr>
          <w:rFonts w:ascii="Arial" w:hAnsi="Arial" w:cs="Arial"/>
        </w:rPr>
        <w:t xml:space="preserve">become a registered shareholder of the Company prior to such record date he will not be able to exercise the redemption rights available to registered shareholders. </w:t>
      </w:r>
    </w:p>
    <w:p w:rsidR="00000000" w:rsidRDefault="003E5AFF">
      <w:pPr>
        <w:pStyle w:val="NormalWeb"/>
        <w:spacing w:before="120" w:beforeAutospacing="0" w:after="0" w:afterAutospacing="0"/>
      </w:pPr>
      <w:r>
        <w:rPr>
          <w:rFonts w:ascii="Arial" w:hAnsi="Arial" w:cs="Arial"/>
          <w:b/>
          <w:bCs/>
          <w:i/>
          <w:iCs/>
        </w:rPr>
        <w:t xml:space="preserve">Market volatility may affect our stock price and the value of your investment. </w:t>
      </w:r>
    </w:p>
    <w:p w:rsidR="00000000" w:rsidRDefault="003E5AFF">
      <w:pPr>
        <w:pStyle w:val="NormalWeb"/>
        <w:spacing w:before="120" w:beforeAutospacing="0" w:after="0" w:afterAutospacing="0"/>
      </w:pPr>
      <w:r>
        <w:rPr>
          <w:rFonts w:ascii="Arial" w:hAnsi="Arial" w:cs="Arial"/>
        </w:rPr>
        <w:t>The market</w:t>
      </w:r>
      <w:r>
        <w:rPr>
          <w:rFonts w:ascii="Arial" w:hAnsi="Arial" w:cs="Arial"/>
        </w:rPr>
        <w:t xml:space="preserve"> price of our common stock may fluctuate significantly in response to a number of factors, most of which we cannot predict or control, including: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announcements of new initiatives, commercial relationships, acquisitions or other events by us or our competitors;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failure of any of our initiatives to achieve commercial success;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fluctuations in stock market prices and trading volumes of securities of similar companies;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general market conditions and overall fluctuations in U.S. equity markets;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variations in our operating results, or the operating results of our competitors;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our financial guidance to investors and analysts or our failure to achieve such expectations;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delays in, or our failure to provide, financial guidance;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securities analysts_ estimates of our financial performance or our failure to achieve such estimates;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sales of large blocks of our common stock, including sales by our controlling shareholders;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additions or departures of any of our key personnel;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accounting principles or methodologies;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changing legal or regulatory developments in the United States and other countries, including the companies in which we operate;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discussion of us or our stock price by the financial press and in online investor communities. </w:t>
            </w:r>
          </w:p>
        </w:tc>
      </w:tr>
    </w:tbl>
    <w:p w:rsidR="00000000" w:rsidRDefault="003E5AFF">
      <w:pPr>
        <w:pStyle w:val="NormalWeb"/>
        <w:spacing w:before="120" w:beforeAutospacing="0" w:after="0" w:afterAutospacing="0"/>
      </w:pPr>
      <w:r>
        <w:rPr>
          <w:rFonts w:ascii="Arial" w:hAnsi="Arial" w:cs="Arial"/>
        </w:rPr>
        <w:t>In addition, the stock market in general has experienced substantial price and volume volatility that is often seemingly unrelated to the operating performance of particular companies. These broad market fluctuations may cause the trading price of our comm</w:t>
      </w:r>
      <w:r>
        <w:rPr>
          <w:rFonts w:ascii="Arial" w:hAnsi="Arial" w:cs="Arial"/>
        </w:rPr>
        <w:t>on stock to decline. In the past, securities class action litigation has often been brought against a company after a period of volatility in the market price of its common stock. We may become involved in this type of litigation in the future. Any securit</w:t>
      </w:r>
      <w:r>
        <w:rPr>
          <w:rFonts w:ascii="Arial" w:hAnsi="Arial" w:cs="Arial"/>
        </w:rPr>
        <w:t xml:space="preserve">ies litigation claims brought against us could result in substantial expenses and the diversion of our management_s attention from our business.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- 57 - </w:t>
      </w:r>
    </w:p>
    <w:p w:rsidR="00000000" w:rsidRDefault="003E5AFF">
      <w:pPr>
        <w:rPr>
          <w:rFonts w:eastAsia="Times New Roman" w:cs="Times New Roman"/>
        </w:rPr>
      </w:pPr>
      <w:r>
        <w:rPr>
          <w:rFonts w:eastAsia="Times New Roman" w:cs="Times New Roman"/>
        </w:rPr>
        <w:pict>
          <v:rect id="_x0000_i1091" style="width:441.9pt;height:3pt" o:hralign="center" o:hrstd="t" o:hrnoshade="t" o:hr="t" fillcolor="#999" stroked="f"/>
        </w:pict>
      </w:r>
    </w:p>
    <w:p w:rsidR="00000000" w:rsidRDefault="003E5AFF">
      <w:pPr>
        <w:pStyle w:val="Heading5"/>
        <w:rPr>
          <w:rFonts w:eastAsia="Times New Roman" w:cs="Times New Roman"/>
        </w:rPr>
      </w:pPr>
      <w:hyperlink r:id="rId10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Exchange rate fluctuations may affect our stock price and the value of your investment. </w:t>
      </w:r>
    </w:p>
    <w:p w:rsidR="00000000" w:rsidRDefault="003E5AFF">
      <w:pPr>
        <w:pStyle w:val="NormalWeb"/>
        <w:spacing w:before="120" w:beforeAutospacing="0" w:after="0" w:afterAutospacing="0"/>
      </w:pPr>
      <w:r>
        <w:rPr>
          <w:rFonts w:ascii="Arial" w:hAnsi="Arial" w:cs="Arial"/>
        </w:rPr>
        <w:t>As our ope</w:t>
      </w:r>
      <w:r>
        <w:rPr>
          <w:rFonts w:ascii="Arial" w:hAnsi="Arial" w:cs="Arial"/>
        </w:rPr>
        <w:t>rations are denominated in local currencies (Chilean Peso, Brazilian Real, Peruvian Sol, Argentinian Peso and Colombian Peso), changes in the currency parities may affect our recognition of results. Furthermore, as our stocks are primarily traded at the Sa</w:t>
      </w:r>
      <w:r>
        <w:rPr>
          <w:rFonts w:ascii="Arial" w:hAnsi="Arial" w:cs="Arial"/>
        </w:rPr>
        <w:t xml:space="preserve">ntiago Stock Exchange, our stock is traded and listed in Chilean pesos. Therefore, changes in the Chilean Peso versus the U.S. Dollar parity may affect the value of your investment when measured in U.S. Dollars.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- 58 - </w:t>
      </w:r>
    </w:p>
    <w:p w:rsidR="00000000" w:rsidRDefault="003E5AFF">
      <w:pPr>
        <w:rPr>
          <w:rFonts w:eastAsia="Times New Roman" w:cs="Times New Roman"/>
        </w:rPr>
      </w:pPr>
      <w:r>
        <w:rPr>
          <w:rFonts w:eastAsia="Times New Roman" w:cs="Times New Roman"/>
        </w:rPr>
        <w:pict>
          <v:rect id="_x0000_i1092" style="width:441.9pt;height:3pt" o:hralign="center" o:hrstd="t" o:hrnoshade="t" o:hr="t" fillcolor="#999" stroked="f"/>
        </w:pict>
      </w:r>
    </w:p>
    <w:p w:rsidR="00000000" w:rsidRDefault="003E5AFF">
      <w:pPr>
        <w:pStyle w:val="Heading5"/>
        <w:rPr>
          <w:rFonts w:eastAsia="Times New Roman" w:cs="Times New Roman"/>
        </w:rPr>
      </w:pPr>
      <w:hyperlink r:id="rId10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6" w:name="rom343004_5"/>
      <w:bookmarkEnd w:id="6"/>
      <w:r>
        <w:rPr>
          <w:rFonts w:ascii="Arial" w:hAnsi="Arial" w:cs="Arial"/>
          <w:b/>
          <w:bCs/>
          <w:sz w:val="36"/>
          <w:szCs w:val="36"/>
        </w:rPr>
        <w:t>Presentation of financial a</w:t>
      </w:r>
      <w:r>
        <w:rPr>
          <w:rFonts w:ascii="Arial" w:hAnsi="Arial" w:cs="Arial"/>
          <w:b/>
          <w:bCs/>
          <w:sz w:val="36"/>
          <w:szCs w:val="36"/>
        </w:rPr>
        <w:t xml:space="preserve">nd other information </w:t>
      </w:r>
    </w:p>
    <w:p w:rsidR="00000000" w:rsidRDefault="003E5AFF">
      <w:pPr>
        <w:pStyle w:val="NormalWeb"/>
        <w:spacing w:before="120" w:beforeAutospacing="0" w:after="0" w:afterAutospacing="0"/>
      </w:pPr>
      <w:r>
        <w:rPr>
          <w:rFonts w:ascii="Arial" w:hAnsi="Arial" w:cs="Arial"/>
          <w:b/>
          <w:bCs/>
          <w:sz w:val="24"/>
          <w:szCs w:val="24"/>
        </w:rPr>
        <w:t xml:space="preserve">Certain defined terms </w:t>
      </w:r>
    </w:p>
    <w:p w:rsidR="00000000" w:rsidRDefault="003E5AFF">
      <w:pPr>
        <w:pStyle w:val="NormalWeb"/>
        <w:spacing w:before="120" w:beforeAutospacing="0" w:after="0" w:afterAutospacing="0"/>
      </w:pPr>
      <w:r>
        <w:rPr>
          <w:rFonts w:ascii="Arial" w:hAnsi="Arial" w:cs="Arial"/>
        </w:rPr>
        <w:t xml:space="preserve">In this prospectus, unless otherwise specified or if the context so requires: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References to the terms _Cencosud S.A.,_ _we,_ _us,_ _our_ and _our company_ refer to the registrant, Cencosud </w:t>
            </w:r>
            <w:r>
              <w:rPr>
                <w:rFonts w:ascii="Arial" w:hAnsi="Arial" w:cs="Arial"/>
              </w:rPr>
              <w:t xml:space="preserve">S.A., a corporation organized under the form of a </w:t>
            </w:r>
            <w:r>
              <w:rPr>
                <w:rFonts w:ascii="Arial" w:hAnsi="Arial" w:cs="Arial"/>
                <w:i/>
                <w:iCs/>
              </w:rPr>
              <w:t>sociedad an_nima</w:t>
            </w:r>
            <w:r>
              <w:rPr>
                <w:rFonts w:ascii="Arial" w:hAnsi="Arial" w:cs="Arial"/>
              </w:rPr>
              <w:t xml:space="preserve"> under the laws of Chile, and its consolidated subsidiaries, unless otherwise indicated.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References to _$,_ _U.S.$,_ _U.S. dollars,_ _dollars_ and _USD_ are to U.S. dollars.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References to _Chilean pesos_ or _Ch$_ are to Chilean pesos, the official currency of Chile.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References to _Argentine pesos_ or _Ar$_ are to Argentine Pesos, the official currency of Argentina.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References to _Brazilian Real,_ _Real,_ _Reais_ or _R$_ are to the Brazilian real, the official currency of Brazil.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References to _Nuevo Sol,_ _Nuevos Soles_ or _S/._ are to Peruvian nuevos soles, the official currency of Peru.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References to _Colombian pesos_ or _Col$_ are to Colombian pesos, the official currency of Colombia.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References to _UF_ are to </w:t>
            </w:r>
            <w:r>
              <w:rPr>
                <w:rFonts w:ascii="Arial" w:hAnsi="Arial" w:cs="Arial"/>
                <w:i/>
                <w:iCs/>
              </w:rPr>
              <w:t>Unidades de Fomento</w:t>
            </w:r>
            <w:r>
              <w:rPr>
                <w:rFonts w:ascii="Arial" w:hAnsi="Arial" w:cs="Arial"/>
              </w:rPr>
              <w:t>. The UF is an inflation-indexed Chilean monetary unit with a value in Chilean pesos that is adj</w:t>
            </w:r>
            <w:r>
              <w:rPr>
                <w:rFonts w:ascii="Arial" w:hAnsi="Arial" w:cs="Arial"/>
              </w:rPr>
              <w:t xml:space="preserve">usted daily to reflect changes in the official Consumer Price Index (_CPI_) of the </w:t>
            </w:r>
            <w:r>
              <w:rPr>
                <w:rFonts w:ascii="Arial" w:hAnsi="Arial" w:cs="Arial"/>
                <w:i/>
                <w:iCs/>
              </w:rPr>
              <w:t>Instituto Nacional de Estad_sticas</w:t>
            </w:r>
            <w:r>
              <w:rPr>
                <w:rFonts w:ascii="Arial" w:hAnsi="Arial" w:cs="Arial"/>
              </w:rPr>
              <w:t xml:space="preserve"> (the Chilean National Institute of Statistics). The UF is adjusted in monthly cycles. Each day in the period beginning on the tenth day of</w:t>
            </w:r>
            <w:r>
              <w:rPr>
                <w:rFonts w:ascii="Arial" w:hAnsi="Arial" w:cs="Arial"/>
              </w:rPr>
              <w:t xml:space="preserve"> the current month through the ninth day of the succeeding month, the nominal peso value of the UF is indexed up (or down in the event of deflation) in order to reflect a proportionate amount of the change in the Chilean consumer price index during the pri</w:t>
            </w:r>
            <w:r>
              <w:rPr>
                <w:rFonts w:ascii="Arial" w:hAnsi="Arial" w:cs="Arial"/>
              </w:rPr>
              <w:t>or calendar month. As of December 30, 2011, UF1.00 was equivalent to U.S.$ 42.94 and Ch$22,294.03 (the latest available date, as December 31, 2011 fell on a non-business day), as of March 31, 2012, UF1.00 was equivalent to U.S.$ 46.01 and as of March 30, 2</w:t>
            </w:r>
            <w:r>
              <w:rPr>
                <w:rFonts w:ascii="Arial" w:hAnsi="Arial" w:cs="Arial"/>
              </w:rPr>
              <w:t xml:space="preserve">012 was equivalent to Ch$22,533.51 (the latest available date, as March 31, 2012 fell on a non-business day in Chile), in each case based on the observed exchange rates reported by the Central Bank of Chile. See _Exchange Rates_Chile._ </w:t>
            </w:r>
          </w:p>
        </w:tc>
      </w:tr>
    </w:tbl>
    <w:p w:rsidR="00000000" w:rsidRDefault="003E5AFF">
      <w:pPr>
        <w:pStyle w:val="NormalWeb"/>
        <w:spacing w:before="120" w:beforeAutospacing="0" w:after="0" w:afterAutospacing="0"/>
      </w:pPr>
      <w:r>
        <w:rPr>
          <w:rFonts w:ascii="Arial" w:hAnsi="Arial" w:cs="Arial"/>
        </w:rPr>
        <w:t>This prospectus con</w:t>
      </w:r>
      <w:r>
        <w:rPr>
          <w:rFonts w:ascii="Arial" w:hAnsi="Arial" w:cs="Arial"/>
        </w:rPr>
        <w:t>tains translations of certain Chilean peso amounts into U.S. dollars at specified rates solely for the convenience of the reader. These translations should not be construed as representations that the Chilean peso amounts actually represent such U.S. dolla</w:t>
      </w:r>
      <w:r>
        <w:rPr>
          <w:rFonts w:ascii="Arial" w:hAnsi="Arial" w:cs="Arial"/>
        </w:rPr>
        <w:t>r amounts or could be converted into U.S. dollars at the rates indicated, at any particular rate or at all. Unless otherwise indicated, the exchange rate used in converting Chilean pesos into U.S. dollars for amounts presented is based on the observed exch</w:t>
      </w:r>
      <w:r>
        <w:rPr>
          <w:rFonts w:ascii="Arial" w:hAnsi="Arial" w:cs="Arial"/>
        </w:rPr>
        <w:t>ange rate (</w:t>
      </w:r>
      <w:r>
        <w:rPr>
          <w:rFonts w:ascii="Arial" w:hAnsi="Arial" w:cs="Arial"/>
          <w:i/>
          <w:iCs/>
        </w:rPr>
        <w:t>d_lar observado</w:t>
      </w:r>
      <w:r>
        <w:rPr>
          <w:rFonts w:ascii="Arial" w:hAnsi="Arial" w:cs="Arial"/>
        </w:rPr>
        <w:t>) reported by the Central Bank of Chile (the _Chilean Central Bank_) for March 30, 2012 (the latest available date, as March 31, 2012 was a non-business day in Chile), which was Ch$487.44 per U.S.$1.00. The rates reported by the C</w:t>
      </w:r>
      <w:r>
        <w:rPr>
          <w:rFonts w:ascii="Arial" w:hAnsi="Arial" w:cs="Arial"/>
        </w:rPr>
        <w:t>hilean Central Bank for March 31, 2012 and December 30, 2011 and 2010 are based upon the observed exchange rate published by the Chilean Central Bank on the first business day following the respective period. The Federal Reserve Bank of New York does not r</w:t>
      </w:r>
      <w:r>
        <w:rPr>
          <w:rFonts w:ascii="Arial" w:hAnsi="Arial" w:cs="Arial"/>
        </w:rPr>
        <w:t xml:space="preserve">eport a noon buying rate for Chilean pesos. See _Exchange Rates_ for additional information regarding rates of exchange.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- 59 - </w:t>
      </w:r>
    </w:p>
    <w:p w:rsidR="00000000" w:rsidRDefault="003E5AFF">
      <w:pPr>
        <w:rPr>
          <w:rFonts w:eastAsia="Times New Roman" w:cs="Times New Roman"/>
        </w:rPr>
      </w:pPr>
      <w:r>
        <w:rPr>
          <w:rFonts w:eastAsia="Times New Roman" w:cs="Times New Roman"/>
        </w:rPr>
        <w:pict>
          <v:rect id="_x0000_i1093" style="width:441.9pt;height:3pt" o:hralign="center" o:hrstd="t" o:hrnoshade="t" o:hr="t" fillcolor="#999" stroked="f"/>
        </w:pict>
      </w:r>
    </w:p>
    <w:p w:rsidR="00000000" w:rsidRDefault="003E5AFF">
      <w:pPr>
        <w:pStyle w:val="Heading5"/>
        <w:rPr>
          <w:rFonts w:eastAsia="Times New Roman" w:cs="Times New Roman"/>
        </w:rPr>
      </w:pPr>
      <w:hyperlink r:id="rId11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Adoption of international financial reporting standards </w:t>
      </w:r>
    </w:p>
    <w:p w:rsidR="00000000" w:rsidRDefault="003E5AFF">
      <w:pPr>
        <w:pStyle w:val="NormalWeb"/>
        <w:spacing w:before="120" w:beforeAutospacing="0" w:after="0" w:afterAutospacing="0"/>
      </w:pPr>
      <w:r>
        <w:rPr>
          <w:rFonts w:ascii="Arial" w:hAnsi="Arial" w:cs="Arial"/>
        </w:rPr>
        <w:t>On August 28, 2007, the</w:t>
      </w:r>
      <w:r>
        <w:rPr>
          <w:rFonts w:ascii="Arial" w:hAnsi="Arial" w:cs="Arial"/>
          <w:i/>
          <w:iCs/>
        </w:rPr>
        <w:t xml:space="preserve"> Superintendencia de Valores y Seguros</w:t>
      </w:r>
      <w:r>
        <w:rPr>
          <w:rFonts w:ascii="Arial" w:hAnsi="Arial" w:cs="Arial"/>
        </w:rPr>
        <w:t xml:space="preserve"> (Superintendency of Securities and Insurance, or _SVS_), the governmental entity in Chil</w:t>
      </w:r>
      <w:r>
        <w:rPr>
          <w:rFonts w:ascii="Arial" w:hAnsi="Arial" w:cs="Arial"/>
        </w:rPr>
        <w:t>e in charge of regulating Chilean public companies, the local securities market and the local insurance sector, announced the adoption in Chile of IFRS beginning on January 1, 2009. References in this prospectus to IFRS mean IFRS as issued by the IASB. Chi</w:t>
      </w:r>
      <w:r>
        <w:rPr>
          <w:rFonts w:ascii="Arial" w:hAnsi="Arial" w:cs="Arial"/>
        </w:rPr>
        <w:t xml:space="preserve">lean companies were assigned different transition periods at the end of which they would be required to report their financial information in accordance with IFRS. </w:t>
      </w:r>
    </w:p>
    <w:p w:rsidR="00000000" w:rsidRDefault="003E5AFF">
      <w:pPr>
        <w:pStyle w:val="NormalWeb"/>
        <w:spacing w:before="120" w:beforeAutospacing="0" w:after="0" w:afterAutospacing="0"/>
      </w:pPr>
      <w:r>
        <w:rPr>
          <w:rFonts w:ascii="Arial" w:hAnsi="Arial" w:cs="Arial"/>
        </w:rPr>
        <w:t>Our Audited Consolidated Financial Statements included elsewhere in this prospectus have be</w:t>
      </w:r>
      <w:r>
        <w:rPr>
          <w:rFonts w:ascii="Arial" w:hAnsi="Arial" w:cs="Arial"/>
        </w:rPr>
        <w:t>en prepared in accordance with IFRS. Our Audited Consolidated Financial Statements are our second annual consolidated financial statements prepared in accordance with IFRS as issued by the IASB and IFRS 1 _First Time Adoption of International Financial Rep</w:t>
      </w:r>
      <w:r>
        <w:rPr>
          <w:rFonts w:ascii="Arial" w:hAnsi="Arial" w:cs="Arial"/>
        </w:rPr>
        <w:t>orting Standards._ Until and including our financial statements for the year ended December 31, 2009, we prepared our consolidated financial statements in accordance with Chilean generally accepted accounting principles, or _Chilean GAAP,_ which differs in</w:t>
      </w:r>
      <w:r>
        <w:rPr>
          <w:rFonts w:ascii="Arial" w:hAnsi="Arial" w:cs="Arial"/>
        </w:rPr>
        <w:t xml:space="preserve"> certain important respects from IFRS. </w:t>
      </w:r>
    </w:p>
    <w:p w:rsidR="00000000" w:rsidRDefault="003E5AFF">
      <w:pPr>
        <w:pStyle w:val="NormalWeb"/>
        <w:spacing w:before="120" w:beforeAutospacing="0" w:after="0" w:afterAutospacing="0"/>
      </w:pPr>
      <w:r>
        <w:rPr>
          <w:rFonts w:ascii="Arial" w:hAnsi="Arial" w:cs="Arial"/>
        </w:rPr>
        <w:t xml:space="preserve">Beginning with our quarterly report for the three months ended March 31, 2010, we started publishing financial statements in accordance with IFRS on a consolidated basis. Our Unaudited Consolidated Interim Financial </w:t>
      </w:r>
      <w:r>
        <w:rPr>
          <w:rFonts w:ascii="Arial" w:hAnsi="Arial" w:cs="Arial"/>
        </w:rPr>
        <w:t>Statements as of and for the three months ended March 31, 2012 and 2011 included elsewhere in this prospectus, have been prepared in accordance with IFRS. Our Audited Consolidated Financial Statements as of and for the years ended December 31, 2011, 2010 a</w:t>
      </w:r>
      <w:r>
        <w:rPr>
          <w:rFonts w:ascii="Arial" w:hAnsi="Arial" w:cs="Arial"/>
        </w:rPr>
        <w:t xml:space="preserve">nd 2009, included elsewhere in this prospectus, have been prepared in accordance with IFRS. </w:t>
      </w:r>
    </w:p>
    <w:p w:rsidR="00000000" w:rsidRDefault="003E5AFF">
      <w:pPr>
        <w:pStyle w:val="NormalWeb"/>
        <w:spacing w:before="240" w:beforeAutospacing="0" w:after="0" w:afterAutospacing="0"/>
      </w:pPr>
      <w:r>
        <w:rPr>
          <w:rFonts w:ascii="Arial" w:hAnsi="Arial" w:cs="Arial"/>
          <w:b/>
          <w:bCs/>
          <w:sz w:val="24"/>
          <w:szCs w:val="24"/>
        </w:rPr>
        <w:t xml:space="preserve">Financial statements </w:t>
      </w:r>
    </w:p>
    <w:p w:rsidR="00000000" w:rsidRDefault="003E5AFF">
      <w:pPr>
        <w:pStyle w:val="NormalWeb"/>
        <w:spacing w:before="120" w:beforeAutospacing="0" w:after="0" w:afterAutospacing="0"/>
      </w:pPr>
      <w:r>
        <w:rPr>
          <w:rFonts w:ascii="Arial" w:hAnsi="Arial" w:cs="Arial"/>
        </w:rPr>
        <w:t>Our financial information included herein has been derived from (i) our Unaudited Consolidated Interim Financial Statements as of March 31, 2</w:t>
      </w:r>
      <w:r>
        <w:rPr>
          <w:rFonts w:ascii="Arial" w:hAnsi="Arial" w:cs="Arial"/>
        </w:rPr>
        <w:t>012 and for the three months ended March 31, 2012 and 2011, together with the notes thereto, prepared in accordance with IFRS, which we refer to in this prospectus as our _Unaudited Interim Consolidated Financial Statements_; and (ii) our audited consolida</w:t>
      </w:r>
      <w:r>
        <w:rPr>
          <w:rFonts w:ascii="Arial" w:hAnsi="Arial" w:cs="Arial"/>
        </w:rPr>
        <w:t>ted financial statements as of December 31, 2011 and 2010 and for the years ended December 31, 2011, 2010 and 2009, together with the notes thereto, prepared in accordance with IFRS, which we refer to in this prospectus as our _Audited Consolidated Financi</w:t>
      </w:r>
      <w:r>
        <w:rPr>
          <w:rFonts w:ascii="Arial" w:hAnsi="Arial" w:cs="Arial"/>
        </w:rPr>
        <w:t xml:space="preserve">al Statements._ </w:t>
      </w:r>
    </w:p>
    <w:p w:rsidR="00000000" w:rsidRDefault="003E5AFF">
      <w:pPr>
        <w:pStyle w:val="NormalWeb"/>
        <w:spacing w:before="120" w:beforeAutospacing="0" w:after="0" w:afterAutospacing="0"/>
      </w:pPr>
      <w:r>
        <w:rPr>
          <w:rFonts w:ascii="Arial" w:hAnsi="Arial" w:cs="Arial"/>
        </w:rPr>
        <w:t xml:space="preserve">Our Audited Consolidated Financial Statements have been audited by PricewaterhouseCoopers </w:t>
      </w:r>
      <w:r>
        <w:rPr>
          <w:rFonts w:ascii="Arial" w:hAnsi="Arial" w:cs="Arial"/>
          <w:i/>
          <w:iCs/>
        </w:rPr>
        <w:t>Consultores, Auditores y Compa_ia Limitada</w:t>
      </w:r>
      <w:r>
        <w:rPr>
          <w:rFonts w:ascii="Arial" w:hAnsi="Arial" w:cs="Arial"/>
        </w:rPr>
        <w:t>, an independent registered public accounting firm, whose report on our Audited Consolidated Financial Stat</w:t>
      </w:r>
      <w:r>
        <w:rPr>
          <w:rFonts w:ascii="Arial" w:hAnsi="Arial" w:cs="Arial"/>
        </w:rPr>
        <w:t xml:space="preserve">ements appears elsewhere in this prospectus. </w:t>
      </w:r>
    </w:p>
    <w:p w:rsidR="00000000" w:rsidRDefault="003E5AFF">
      <w:pPr>
        <w:pStyle w:val="NormalWeb"/>
        <w:spacing w:before="120" w:beforeAutospacing="0" w:after="0" w:afterAutospacing="0"/>
      </w:pPr>
      <w:r>
        <w:rPr>
          <w:rFonts w:ascii="Arial" w:hAnsi="Arial" w:cs="Arial"/>
        </w:rPr>
        <w:t>Unless otherwise noted, the financial data presented herein as of and for the three months ended March 31, 2012 and as of and for the years ended December 31, 2011, 2010 and 2009 is stated in Chilean pesos, our</w:t>
      </w:r>
      <w:r>
        <w:rPr>
          <w:rFonts w:ascii="Arial" w:hAnsi="Arial" w:cs="Arial"/>
        </w:rPr>
        <w:t xml:space="preserve"> functional and reporting currency. </w:t>
      </w:r>
    </w:p>
    <w:p w:rsidR="00000000" w:rsidRDefault="003E5AFF">
      <w:pPr>
        <w:pStyle w:val="NormalWeb"/>
        <w:spacing w:before="120" w:beforeAutospacing="0" w:after="0" w:afterAutospacing="0"/>
      </w:pPr>
      <w:r>
        <w:rPr>
          <w:rFonts w:ascii="Arial" w:hAnsi="Arial" w:cs="Arial"/>
        </w:rPr>
        <w:t>Our consolidated financial statements have been prepared on the accrual basis of accounting, except for those items accounted for at fair value (for example, investment properties and certain financial assets, such as o</w:t>
      </w:r>
      <w:r>
        <w:rPr>
          <w:rFonts w:ascii="Arial" w:hAnsi="Arial" w:cs="Arial"/>
        </w:rPr>
        <w:t>ptions and derivative financial instruments), and include the accounts of the Company and its subsidiaries, including Banco Paris. Our historical consolidated financial statements previously available do not consolidate the operations of Banco Paris. All s</w:t>
      </w:r>
      <w:r>
        <w:rPr>
          <w:rFonts w:ascii="Arial" w:hAnsi="Arial" w:cs="Arial"/>
        </w:rPr>
        <w:t xml:space="preserve">ignificant inter-company balances and transactions have been eliminated in consolidation.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- 60 - </w:t>
      </w:r>
    </w:p>
    <w:p w:rsidR="00000000" w:rsidRDefault="003E5AFF">
      <w:pPr>
        <w:rPr>
          <w:rFonts w:eastAsia="Times New Roman" w:cs="Times New Roman"/>
        </w:rPr>
      </w:pPr>
      <w:r>
        <w:rPr>
          <w:rFonts w:eastAsia="Times New Roman" w:cs="Times New Roman"/>
        </w:rPr>
        <w:pict>
          <v:rect id="_x0000_i1094" style="width:441.9pt;height:3pt" o:hralign="center" o:hrstd="t" o:hrnoshade="t" o:hr="t" fillcolor="#999" stroked="f"/>
        </w:pict>
      </w:r>
    </w:p>
    <w:p w:rsidR="00000000" w:rsidRDefault="003E5AFF">
      <w:pPr>
        <w:pStyle w:val="Heading5"/>
        <w:rPr>
          <w:rFonts w:eastAsia="Times New Roman" w:cs="Times New Roman"/>
        </w:rPr>
      </w:pPr>
      <w:hyperlink r:id="rId111"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b/>
          <w:bCs/>
          <w:sz w:val="24"/>
          <w:szCs w:val="24"/>
        </w:rPr>
        <w:t xml:space="preserve">Rounding </w:t>
      </w:r>
    </w:p>
    <w:p w:rsidR="00000000" w:rsidRDefault="003E5AFF">
      <w:pPr>
        <w:pStyle w:val="NormalWeb"/>
        <w:spacing w:before="120" w:beforeAutospacing="0" w:after="0" w:afterAutospacing="0"/>
      </w:pPr>
      <w:r>
        <w:rPr>
          <w:rFonts w:ascii="Arial" w:hAnsi="Arial" w:cs="Arial"/>
        </w:rPr>
        <w:t>Certain figures included in this prospectus and in our financial statements have been rounded for ease of presentation. Percentage figures included in this prospectus have not in all cases been calculated on the basis of such rounded fig</w:t>
      </w:r>
      <w:r>
        <w:rPr>
          <w:rFonts w:ascii="Arial" w:hAnsi="Arial" w:cs="Arial"/>
        </w:rPr>
        <w:t>ures but on the basis of such amounts prior to rounding. For this reason, percentage amounts in this prospectus may vary from those obtained by performing the same calculations using the figures in our financial statements. Certain other amounts that appea</w:t>
      </w:r>
      <w:r>
        <w:rPr>
          <w:rFonts w:ascii="Arial" w:hAnsi="Arial" w:cs="Arial"/>
        </w:rPr>
        <w:t xml:space="preserve">r in this prospectus may not sum due to rounding. </w:t>
      </w:r>
    </w:p>
    <w:p w:rsidR="00000000" w:rsidRDefault="003E5AFF">
      <w:pPr>
        <w:pStyle w:val="NormalWeb"/>
        <w:spacing w:before="240" w:beforeAutospacing="0" w:after="0" w:afterAutospacing="0"/>
      </w:pPr>
      <w:r>
        <w:rPr>
          <w:rFonts w:ascii="Arial" w:hAnsi="Arial" w:cs="Arial"/>
          <w:b/>
          <w:bCs/>
          <w:sz w:val="24"/>
          <w:szCs w:val="24"/>
        </w:rPr>
        <w:t xml:space="preserve">Operating data </w:t>
      </w:r>
    </w:p>
    <w:p w:rsidR="00000000" w:rsidRDefault="003E5AFF">
      <w:pPr>
        <w:pStyle w:val="NormalWeb"/>
        <w:spacing w:before="120" w:beforeAutospacing="0" w:after="0" w:afterAutospacing="0"/>
      </w:pPr>
      <w:r>
        <w:rPr>
          <w:rFonts w:ascii="Arial" w:hAnsi="Arial" w:cs="Arial"/>
        </w:rPr>
        <w:t>Calculations of revenues from ordinary activities for our shopping centers presented in this prospectus exclude inter-company lease payments to our shopping centers from stores owned by us.</w:t>
      </w:r>
      <w:r>
        <w:rPr>
          <w:rFonts w:ascii="Arial" w:hAnsi="Arial" w:cs="Arial"/>
        </w:rPr>
        <w:t xml:space="preserve"> Unless otherwise noted, calculations of gross leasable area for our shopping centers do not include the square meters occupied by our stores. </w:t>
      </w:r>
    </w:p>
    <w:p w:rsidR="00000000" w:rsidRDefault="003E5AFF">
      <w:pPr>
        <w:pStyle w:val="NormalWeb"/>
        <w:spacing w:before="120" w:beforeAutospacing="0" w:after="0" w:afterAutospacing="0"/>
      </w:pPr>
      <w:r>
        <w:rPr>
          <w:rFonts w:ascii="Arial" w:hAnsi="Arial" w:cs="Arial"/>
        </w:rPr>
        <w:t>As used herein, the term _same-store sales_ reflects the sales of our stores operating throughout the same month</w:t>
      </w:r>
      <w:r>
        <w:rPr>
          <w:rFonts w:ascii="Arial" w:hAnsi="Arial" w:cs="Arial"/>
        </w:rPr>
        <w:t>s of both financial periods being compared. If a store did not operate for a full month of either of the financial periods being compared, we exclude its sales for such month from both financial periods. For example, if a new store was opened on July 1, 20</w:t>
      </w:r>
      <w:r>
        <w:rPr>
          <w:rFonts w:ascii="Arial" w:hAnsi="Arial" w:cs="Arial"/>
        </w:rPr>
        <w:t>10 and operated throughout the last six months of 2010, (i) our _same-store sales_ data would include the sales of that store for the last six months of 2010 and the last six months of 2011 and (ii) we would account for the sales of the new store during th</w:t>
      </w:r>
      <w:r>
        <w:rPr>
          <w:rFonts w:ascii="Arial" w:hAnsi="Arial" w:cs="Arial"/>
        </w:rPr>
        <w:t>e first six months of 2011 as sales from a newly opened store. Our calculations of same-store sales data may differ from same-store sales calculations of other retailers. Unless otherwise noted, we have presented calculations of same-store sales in nominal</w:t>
      </w:r>
      <w:r>
        <w:rPr>
          <w:rFonts w:ascii="Arial" w:hAnsi="Arial" w:cs="Arial"/>
        </w:rPr>
        <w:t xml:space="preserve"> local currency. </w:t>
      </w:r>
    </w:p>
    <w:p w:rsidR="00000000" w:rsidRDefault="003E5AFF">
      <w:pPr>
        <w:pStyle w:val="NormalWeb"/>
        <w:spacing w:before="240" w:beforeAutospacing="0" w:after="0" w:afterAutospacing="0"/>
      </w:pPr>
      <w:r>
        <w:rPr>
          <w:rFonts w:ascii="Arial" w:hAnsi="Arial" w:cs="Arial"/>
          <w:b/>
          <w:bCs/>
          <w:sz w:val="24"/>
          <w:szCs w:val="24"/>
        </w:rPr>
        <w:t xml:space="preserve">Industry and market data </w:t>
      </w:r>
    </w:p>
    <w:p w:rsidR="00000000" w:rsidRDefault="003E5AFF">
      <w:pPr>
        <w:pStyle w:val="NormalWeb"/>
        <w:spacing w:before="120" w:beforeAutospacing="0" w:after="0" w:afterAutospacing="0"/>
      </w:pPr>
      <w:r>
        <w:rPr>
          <w:rFonts w:ascii="Arial" w:hAnsi="Arial" w:cs="Arial"/>
        </w:rPr>
        <w:t>None of the Argentine, Brazilian, Chilean, Peruvian or Colombian governments publish definitive data regarding the supermarket, home improvement store, department store, shopping center or financial services indu</w:t>
      </w:r>
      <w:r>
        <w:rPr>
          <w:rFonts w:ascii="Arial" w:hAnsi="Arial" w:cs="Arial"/>
        </w:rPr>
        <w:t xml:space="preserve">stries. </w:t>
      </w:r>
    </w:p>
    <w:p w:rsidR="00000000" w:rsidRDefault="003E5AFF">
      <w:pPr>
        <w:pStyle w:val="NormalWeb"/>
        <w:spacing w:before="24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 xml:space="preserve">This prospectus contains data related to the economic conditions in the markets in which we operate. Unless otherwise indicated, information in this prospectus concerning economic conditions is based on publicly </w:t>
      </w:r>
      <w:r>
        <w:rPr>
          <w:rFonts w:ascii="Arial" w:hAnsi="Arial" w:cs="Arial"/>
        </w:rPr>
        <w:t>available information from third-party sources which we believe to be reasonable. The economic conditions in the markets in which we operate may deteriorate, and those economies may not grow at the rates projected by market data, or at all. The deteriorati</w:t>
      </w:r>
      <w:r>
        <w:rPr>
          <w:rFonts w:ascii="Arial" w:hAnsi="Arial" w:cs="Arial"/>
        </w:rPr>
        <w:t xml:space="preserve">on of the economic conditions in the markets in which we operate may have a material adverse effect on our business, results of operations, financial condition and the market price of our shares of common stock and ADSs. </w:t>
      </w:r>
    </w:p>
    <w:p w:rsidR="00000000" w:rsidRDefault="003E5AFF">
      <w:pPr>
        <w:pStyle w:val="NormalWeb"/>
        <w:spacing w:before="240" w:beforeAutospacing="0" w:after="0" w:afterAutospacing="0"/>
      </w:pPr>
      <w:r>
        <w:rPr>
          <w:rFonts w:ascii="Arial" w:hAnsi="Arial" w:cs="Arial"/>
          <w:b/>
          <w:bCs/>
          <w:i/>
          <w:iCs/>
        </w:rPr>
        <w:t xml:space="preserve">Chile and Argentina </w:t>
      </w:r>
    </w:p>
    <w:p w:rsidR="00000000" w:rsidRDefault="003E5AFF">
      <w:pPr>
        <w:pStyle w:val="NormalWeb"/>
        <w:spacing w:before="120" w:beforeAutospacing="0" w:after="0" w:afterAutospacing="0"/>
      </w:pPr>
      <w:r>
        <w:rPr>
          <w:rFonts w:ascii="Arial" w:hAnsi="Arial" w:cs="Arial"/>
        </w:rPr>
        <w:t>Market data a</w:t>
      </w:r>
      <w:r>
        <w:rPr>
          <w:rFonts w:ascii="Arial" w:hAnsi="Arial" w:cs="Arial"/>
        </w:rPr>
        <w:t>nd other statistical information (other than with respect to our financial results and performance) used throughout this prospectus are based on independent industry publications, government publications, reports by market research firms or other published</w:t>
      </w:r>
      <w:r>
        <w:rPr>
          <w:rFonts w:ascii="Arial" w:hAnsi="Arial" w:cs="Arial"/>
        </w:rPr>
        <w:t xml:space="preserve"> independent sources, such as the </w:t>
      </w:r>
      <w:r>
        <w:rPr>
          <w:rFonts w:ascii="Arial" w:hAnsi="Arial" w:cs="Arial"/>
          <w:i/>
          <w:iCs/>
        </w:rPr>
        <w:t>Instituto Nacional de Estad_sticas y Censos</w:t>
      </w:r>
      <w:r>
        <w:rPr>
          <w:rFonts w:ascii="Arial" w:hAnsi="Arial" w:cs="Arial"/>
        </w:rPr>
        <w:t xml:space="preserve"> (the Argentine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- 61 - </w:t>
      </w:r>
    </w:p>
    <w:p w:rsidR="00000000" w:rsidRDefault="003E5AFF">
      <w:pPr>
        <w:rPr>
          <w:rFonts w:eastAsia="Times New Roman" w:cs="Times New Roman"/>
        </w:rPr>
      </w:pPr>
      <w:r>
        <w:rPr>
          <w:rFonts w:eastAsia="Times New Roman" w:cs="Times New Roman"/>
        </w:rPr>
        <w:pict>
          <v:rect id="_x0000_i1095" style="width:441.9pt;height:3pt" o:hralign="center" o:hrstd="t" o:hrnoshade="t" o:hr="t" fillcolor="#999" stroked="f"/>
        </w:pict>
      </w:r>
    </w:p>
    <w:p w:rsidR="00000000" w:rsidRDefault="003E5AFF">
      <w:pPr>
        <w:pStyle w:val="Heading5"/>
        <w:rPr>
          <w:rFonts w:eastAsia="Times New Roman" w:cs="Times New Roman"/>
        </w:rPr>
      </w:pPr>
      <w:hyperlink r:id="rId11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National Institute of Statistics and Census, or _INDEC_) and the Instituto National de </w:t>
      </w:r>
      <w:r>
        <w:rPr>
          <w:rFonts w:ascii="Arial" w:hAnsi="Arial" w:cs="Arial"/>
          <w:i/>
          <w:iCs/>
        </w:rPr>
        <w:t>Estad_sticas</w:t>
      </w:r>
      <w:r>
        <w:rPr>
          <w:rFonts w:ascii="Arial" w:hAnsi="Arial" w:cs="Arial"/>
        </w:rPr>
        <w:t xml:space="preserve"> (the Chilean National Institute of Statistics, or _INE_), </w:t>
      </w:r>
      <w:r>
        <w:rPr>
          <w:rFonts w:ascii="Arial" w:hAnsi="Arial" w:cs="Arial"/>
        </w:rPr>
        <w:t xml:space="preserve">each a governmental agency that publishes information based on its independent data, the </w:t>
      </w:r>
      <w:r>
        <w:rPr>
          <w:rFonts w:ascii="Arial" w:hAnsi="Arial" w:cs="Arial"/>
          <w:i/>
          <w:iCs/>
        </w:rPr>
        <w:t>Asociaci_n Gremial de Supermercados de Chile</w:t>
      </w:r>
      <w:r>
        <w:rPr>
          <w:rFonts w:ascii="Arial" w:hAnsi="Arial" w:cs="Arial"/>
        </w:rPr>
        <w:t xml:space="preserve"> (the Chilean Supermarkets Association, or _ASACH_), which publishes certain data with respect to supermarkets in Chile, A.</w:t>
      </w:r>
      <w:r>
        <w:rPr>
          <w:rFonts w:ascii="Arial" w:hAnsi="Arial" w:cs="Arial"/>
        </w:rPr>
        <w:t xml:space="preserve">C. Nielsen Chile S.A., which publishes data with respect to the supermarket industry in Chile, and A.C. Nielsen Argentina, which publishes market share data with respect to the supermarket industry in Argentina. In addition, the </w:t>
      </w:r>
      <w:r>
        <w:rPr>
          <w:rFonts w:ascii="Arial" w:hAnsi="Arial" w:cs="Arial"/>
          <w:i/>
          <w:iCs/>
        </w:rPr>
        <w:t>Camara Argentina de Shoppin</w:t>
      </w:r>
      <w:r>
        <w:rPr>
          <w:rFonts w:ascii="Arial" w:hAnsi="Arial" w:cs="Arial"/>
          <w:i/>
          <w:iCs/>
        </w:rPr>
        <w:t>g Centers</w:t>
      </w:r>
      <w:r>
        <w:rPr>
          <w:rFonts w:ascii="Arial" w:hAnsi="Arial" w:cs="Arial"/>
        </w:rPr>
        <w:t xml:space="preserve"> (the Argentine Chamber of Shopping Centers, or _CASC_) currently publishes market share data with respect to shopping centers in Argentina. Certain other shopping center statistics for Chile and Argentina are published by the International Counci</w:t>
      </w:r>
      <w:r>
        <w:rPr>
          <w:rFonts w:ascii="Arial" w:hAnsi="Arial" w:cs="Arial"/>
        </w:rPr>
        <w:t xml:space="preserve">l for Shopping Centers. </w:t>
      </w:r>
    </w:p>
    <w:p w:rsidR="00000000" w:rsidRDefault="003E5AFF">
      <w:pPr>
        <w:pStyle w:val="NormalWeb"/>
        <w:spacing w:before="240" w:beforeAutospacing="0" w:after="0" w:afterAutospacing="0"/>
      </w:pPr>
      <w:r>
        <w:rPr>
          <w:rFonts w:ascii="Arial" w:hAnsi="Arial" w:cs="Arial"/>
          <w:b/>
          <w:bCs/>
          <w:i/>
          <w:iCs/>
        </w:rPr>
        <w:t xml:space="preserve">Brazil </w:t>
      </w:r>
    </w:p>
    <w:p w:rsidR="00000000" w:rsidRDefault="003E5AFF">
      <w:pPr>
        <w:pStyle w:val="NormalWeb"/>
        <w:spacing w:before="120" w:beforeAutospacing="0" w:after="0" w:afterAutospacing="0"/>
      </w:pPr>
      <w:r>
        <w:rPr>
          <w:rFonts w:ascii="Arial" w:hAnsi="Arial" w:cs="Arial"/>
        </w:rPr>
        <w:t xml:space="preserve">We have included certain information with respect to Brazil based on reports prepared by established public sources, such as the Central Bank of Brazil, the </w:t>
      </w:r>
      <w:r>
        <w:rPr>
          <w:rFonts w:ascii="Arial" w:hAnsi="Arial" w:cs="Arial"/>
          <w:i/>
          <w:iCs/>
        </w:rPr>
        <w:t>Instituto Brasileiro de Geografia e Estat_stica</w:t>
      </w:r>
      <w:r>
        <w:rPr>
          <w:rFonts w:ascii="Arial" w:hAnsi="Arial" w:cs="Arial"/>
        </w:rPr>
        <w:t xml:space="preserve"> (the Brazilian Ins</w:t>
      </w:r>
      <w:r>
        <w:rPr>
          <w:rFonts w:ascii="Arial" w:hAnsi="Arial" w:cs="Arial"/>
        </w:rPr>
        <w:t xml:space="preserve">titute of Geography and Statistics, or _IBGE_), the </w:t>
      </w:r>
      <w:r>
        <w:rPr>
          <w:rFonts w:ascii="Arial" w:hAnsi="Arial" w:cs="Arial"/>
          <w:i/>
          <w:iCs/>
        </w:rPr>
        <w:t>Instituto de Pesquisa Econ_mica Aplicada</w:t>
      </w:r>
      <w:r>
        <w:rPr>
          <w:rFonts w:ascii="Arial" w:hAnsi="Arial" w:cs="Arial"/>
        </w:rPr>
        <w:t xml:space="preserve"> (the Institute of Applied Economic Research, or _IPEA_), the </w:t>
      </w:r>
      <w:r>
        <w:rPr>
          <w:rFonts w:ascii="Arial" w:hAnsi="Arial" w:cs="Arial"/>
          <w:i/>
          <w:iCs/>
        </w:rPr>
        <w:t>Associa?_o Brasileira de Supermercados</w:t>
      </w:r>
      <w:r>
        <w:rPr>
          <w:rFonts w:ascii="Arial" w:hAnsi="Arial" w:cs="Arial"/>
        </w:rPr>
        <w:t xml:space="preserve"> (the Brazilian Association of Supermarkets, or _ABRAS_), and th</w:t>
      </w:r>
      <w:r>
        <w:rPr>
          <w:rFonts w:ascii="Arial" w:hAnsi="Arial" w:cs="Arial"/>
        </w:rPr>
        <w:t xml:space="preserve">e </w:t>
      </w:r>
      <w:r>
        <w:rPr>
          <w:rFonts w:ascii="Arial" w:hAnsi="Arial" w:cs="Arial"/>
          <w:i/>
          <w:iCs/>
        </w:rPr>
        <w:t>Funda?_o Get_lio Vargas</w:t>
      </w:r>
      <w:r>
        <w:rPr>
          <w:rFonts w:ascii="Arial" w:hAnsi="Arial" w:cs="Arial"/>
        </w:rPr>
        <w:t xml:space="preserve"> (the Get_lio Vargas Foundation). Unless otherwise indicated, all macroeconomic information relating to Brazil was obtained from the Central Bank of Brazil, IBGE and the Get_lio Vargas Foundation. </w:t>
      </w:r>
    </w:p>
    <w:p w:rsidR="00000000" w:rsidRDefault="003E5AFF">
      <w:pPr>
        <w:pStyle w:val="NormalWeb"/>
        <w:spacing w:before="240" w:beforeAutospacing="0" w:after="0" w:afterAutospacing="0"/>
      </w:pPr>
      <w:r>
        <w:rPr>
          <w:rFonts w:ascii="Arial" w:hAnsi="Arial" w:cs="Arial"/>
          <w:b/>
          <w:bCs/>
          <w:i/>
          <w:iCs/>
        </w:rPr>
        <w:t xml:space="preserve">Peru </w:t>
      </w:r>
    </w:p>
    <w:p w:rsidR="00000000" w:rsidRDefault="003E5AFF">
      <w:pPr>
        <w:pStyle w:val="NormalWeb"/>
        <w:spacing w:before="120" w:beforeAutospacing="0" w:after="0" w:afterAutospacing="0"/>
      </w:pPr>
      <w:r>
        <w:rPr>
          <w:rFonts w:ascii="Arial" w:hAnsi="Arial" w:cs="Arial"/>
        </w:rPr>
        <w:t>Macroeconomic data from Per</w:t>
      </w:r>
      <w:r>
        <w:rPr>
          <w:rFonts w:ascii="Arial" w:hAnsi="Arial" w:cs="Arial"/>
        </w:rPr>
        <w:t>u included in this prospectus is derived from public entities, such as the Central Bank of Per_, the</w:t>
      </w:r>
      <w:r>
        <w:rPr>
          <w:rFonts w:ascii="Arial" w:hAnsi="Arial" w:cs="Arial"/>
          <w:i/>
          <w:iCs/>
        </w:rPr>
        <w:t xml:space="preserve"> Instituto Nacional de Estad_sitcas e Inform_tica</w:t>
      </w:r>
      <w:r>
        <w:rPr>
          <w:rFonts w:ascii="Arial" w:hAnsi="Arial" w:cs="Arial"/>
        </w:rPr>
        <w:t xml:space="preserve"> (the National Institute of Statistics and Computing, or _INEI_), </w:t>
      </w:r>
      <w:r>
        <w:rPr>
          <w:rFonts w:ascii="Arial" w:hAnsi="Arial" w:cs="Arial"/>
          <w:i/>
          <w:iCs/>
        </w:rPr>
        <w:t>Corporaci_n de Compa?_as de Research</w:t>
      </w:r>
      <w:r>
        <w:rPr>
          <w:rFonts w:ascii="Arial" w:hAnsi="Arial" w:cs="Arial"/>
        </w:rPr>
        <w:t xml:space="preserve"> (Res</w:t>
      </w:r>
      <w:r>
        <w:rPr>
          <w:rFonts w:ascii="Arial" w:hAnsi="Arial" w:cs="Arial"/>
        </w:rPr>
        <w:t>earch Companies Corporation, or _CCR_) or by Apoyo Consulting. Some data are also based on our estimates, which are derived from our review of internal surveys, as well as independent sources. Although we believe these sources are reliable, we have not ind</w:t>
      </w:r>
      <w:r>
        <w:rPr>
          <w:rFonts w:ascii="Arial" w:hAnsi="Arial" w:cs="Arial"/>
        </w:rPr>
        <w:t>ependently verified the information provided by third parties. In addition, these sources may use different definitions of the relevant markets than those we present. Data regarding our industry are intended to provide general guidance but are inherently i</w:t>
      </w:r>
      <w:r>
        <w:rPr>
          <w:rFonts w:ascii="Arial" w:hAnsi="Arial" w:cs="Arial"/>
        </w:rPr>
        <w:t xml:space="preserve">mprecise. </w:t>
      </w:r>
    </w:p>
    <w:p w:rsidR="00000000" w:rsidRDefault="003E5AFF">
      <w:pPr>
        <w:pStyle w:val="NormalWeb"/>
        <w:spacing w:before="240" w:beforeAutospacing="0" w:after="0" w:afterAutospacing="0"/>
      </w:pPr>
      <w:r>
        <w:rPr>
          <w:rFonts w:ascii="Arial" w:hAnsi="Arial" w:cs="Arial"/>
          <w:b/>
          <w:bCs/>
          <w:sz w:val="24"/>
          <w:szCs w:val="24"/>
        </w:rPr>
        <w:t xml:space="preserve">Other information </w:t>
      </w:r>
    </w:p>
    <w:p w:rsidR="00000000" w:rsidRDefault="003E5AFF">
      <w:pPr>
        <w:pStyle w:val="NormalWeb"/>
        <w:spacing w:before="120" w:beforeAutospacing="0" w:after="0" w:afterAutospacing="0"/>
      </w:pPr>
      <w:r>
        <w:rPr>
          <w:rFonts w:ascii="Arial" w:hAnsi="Arial" w:cs="Arial"/>
        </w:rPr>
        <w:t xml:space="preserve">We conduct our supermarket operations primarily through the following trade names: </w:t>
      </w:r>
      <w:r>
        <w:rPr>
          <w:rFonts w:ascii="Arial" w:hAnsi="Arial" w:cs="Arial"/>
          <w:i/>
          <w:iCs/>
        </w:rPr>
        <w:t>Bretas, Jumbo, Santa Isabel, Disco, Vea, Wong, Metro, GBarbosa, Perini, Super Familia</w:t>
      </w:r>
      <w:r>
        <w:rPr>
          <w:rFonts w:ascii="Arial" w:hAnsi="Arial" w:cs="Arial"/>
        </w:rPr>
        <w:t xml:space="preserve"> and, as of January 2012, </w:t>
      </w:r>
      <w:r>
        <w:rPr>
          <w:rFonts w:ascii="Arial" w:hAnsi="Arial" w:cs="Arial"/>
          <w:i/>
          <w:iCs/>
        </w:rPr>
        <w:t>Prezunic</w:t>
      </w:r>
      <w:r>
        <w:rPr>
          <w:rFonts w:ascii="Arial" w:hAnsi="Arial" w:cs="Arial"/>
        </w:rPr>
        <w:t xml:space="preserve">. </w:t>
      </w:r>
    </w:p>
    <w:p w:rsidR="00000000" w:rsidRDefault="003E5AFF">
      <w:pPr>
        <w:pStyle w:val="NormalWeb"/>
        <w:spacing w:before="120" w:beforeAutospacing="0" w:after="0" w:afterAutospacing="0"/>
      </w:pPr>
      <w:r>
        <w:rPr>
          <w:rFonts w:ascii="Arial" w:hAnsi="Arial" w:cs="Arial"/>
        </w:rPr>
        <w:t>According to the ASAC</w:t>
      </w:r>
      <w:r>
        <w:rPr>
          <w:rFonts w:ascii="Arial" w:hAnsi="Arial" w:cs="Arial"/>
        </w:rPr>
        <w:t>H, _</w:t>
      </w:r>
      <w:r>
        <w:rPr>
          <w:rFonts w:ascii="Arial" w:hAnsi="Arial" w:cs="Arial"/>
          <w:i/>
          <w:iCs/>
        </w:rPr>
        <w:t>hypermarkets</w:t>
      </w:r>
      <w:r>
        <w:rPr>
          <w:rFonts w:ascii="Arial" w:hAnsi="Arial" w:cs="Arial"/>
        </w:rPr>
        <w:t>_ are defined as retail stores with more than 10,000 square meters of selling space, offering more than 25,000 products and having more than 40 cashiers. ASACH defines _</w:t>
      </w:r>
      <w:r>
        <w:rPr>
          <w:rFonts w:ascii="Arial" w:hAnsi="Arial" w:cs="Arial"/>
          <w:i/>
          <w:iCs/>
        </w:rPr>
        <w:t>supermarkets</w:t>
      </w:r>
      <w:r>
        <w:rPr>
          <w:rFonts w:ascii="Arial" w:hAnsi="Arial" w:cs="Arial"/>
        </w:rPr>
        <w:t>_ as retail stores having up to 6,000 square meters of sell</w:t>
      </w:r>
      <w:r>
        <w:rPr>
          <w:rFonts w:ascii="Arial" w:hAnsi="Arial" w:cs="Arial"/>
        </w:rPr>
        <w:t>ing space, between 400 and 10,000 products and ten to 25 cashiers. Although some of our Jumbo hypermarkets have less than 10,000 square meters, we refer to all of our Jumbo stores as hypermarkets. We consolidate the results of our supermarkets and hypermar</w:t>
      </w:r>
      <w:r>
        <w:rPr>
          <w:rFonts w:ascii="Arial" w:hAnsi="Arial" w:cs="Arial"/>
        </w:rPr>
        <w:t xml:space="preserve">kets under our _supermarkets_ segment. Therefore, unless otherwise noted, our discussions of _supermarkets_ in this prospectus include our Santa Isabel supermarkets and Jumbo hypermarkets in Chile; Disco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- 62 - </w:t>
      </w:r>
    </w:p>
    <w:p w:rsidR="00000000" w:rsidRDefault="003E5AFF">
      <w:pPr>
        <w:rPr>
          <w:rFonts w:eastAsia="Times New Roman" w:cs="Times New Roman"/>
        </w:rPr>
      </w:pPr>
      <w:r>
        <w:rPr>
          <w:rFonts w:eastAsia="Times New Roman" w:cs="Times New Roman"/>
        </w:rPr>
        <w:pict>
          <v:rect id="_x0000_i1096" style="width:441.9pt;height:3pt" o:hralign="center" o:hrstd="t" o:hrnoshade="t" o:hr="t" fillcolor="#999" stroked="f"/>
        </w:pict>
      </w:r>
    </w:p>
    <w:p w:rsidR="00000000" w:rsidRDefault="003E5AFF">
      <w:pPr>
        <w:pStyle w:val="Heading5"/>
        <w:rPr>
          <w:rFonts w:eastAsia="Times New Roman" w:cs="Times New Roman"/>
        </w:rPr>
      </w:pPr>
      <w:hyperlink r:id="rId11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and Super Vea supermarkets </w:t>
      </w:r>
      <w:r>
        <w:rPr>
          <w:rFonts w:ascii="Arial" w:hAnsi="Arial" w:cs="Arial"/>
        </w:rPr>
        <w:t xml:space="preserve">and Jumbo hypermarkets in Argentina; Bretas, GBarbosa, Mercantil Rodrigues, Perini and Super Familia hypermarkets and supermarkets in Brazil; and Wong and Metro supermarkets and hypermarkets in Peru. </w:t>
      </w:r>
    </w:p>
    <w:p w:rsidR="00000000" w:rsidRDefault="003E5AFF">
      <w:pPr>
        <w:pStyle w:val="NormalWeb"/>
        <w:spacing w:before="120" w:beforeAutospacing="0" w:after="0" w:afterAutospacing="0"/>
      </w:pPr>
      <w:r>
        <w:rPr>
          <w:rFonts w:ascii="Arial" w:hAnsi="Arial" w:cs="Arial"/>
        </w:rPr>
        <w:t>In addition, we conduct our home improvement operations</w:t>
      </w:r>
      <w:r>
        <w:rPr>
          <w:rFonts w:ascii="Arial" w:hAnsi="Arial" w:cs="Arial"/>
        </w:rPr>
        <w:t xml:space="preserve"> through the Easy and Blaisten trade names and our department store operations through the Paris and Johnson_s trade names. By _home improvement_ stores we mean retail establishments that sell a wide assortment of building materials and home improvement an</w:t>
      </w:r>
      <w:r>
        <w:rPr>
          <w:rFonts w:ascii="Arial" w:hAnsi="Arial" w:cs="Arial"/>
        </w:rPr>
        <w:t xml:space="preserve">d lawn and garden products and provide certain related services. Our _home improvement stores_ refer to our home improvement stores operated under the Easy and Blaisten brand names, including our Easy stores in Chile, Argentina and Colombia. </w:t>
      </w:r>
    </w:p>
    <w:p w:rsidR="00000000" w:rsidRDefault="003E5AFF">
      <w:pPr>
        <w:pStyle w:val="NormalWeb"/>
        <w:spacing w:before="120" w:beforeAutospacing="0" w:after="0" w:afterAutospacing="0"/>
      </w:pPr>
      <w:r>
        <w:rPr>
          <w:rFonts w:ascii="Arial" w:hAnsi="Arial" w:cs="Arial"/>
        </w:rPr>
        <w:t>References to</w:t>
      </w:r>
      <w:r>
        <w:rPr>
          <w:rFonts w:ascii="Arial" w:hAnsi="Arial" w:cs="Arial"/>
        </w:rPr>
        <w:t xml:space="preserve"> _stores_ refer collectively to our hypermarkets, supermarkets, department stores and home improvement stores. </w:t>
      </w:r>
    </w:p>
    <w:p w:rsidR="00000000" w:rsidRDefault="003E5AFF">
      <w:pPr>
        <w:pStyle w:val="NormalWeb"/>
        <w:spacing w:before="120" w:beforeAutospacing="0" w:after="0" w:afterAutospacing="0"/>
      </w:pPr>
      <w:r>
        <w:rPr>
          <w:rFonts w:ascii="Arial" w:hAnsi="Arial" w:cs="Arial"/>
        </w:rPr>
        <w:t xml:space="preserve">One meter equals approximately 3.3 feet or 1.1 yards and one square meter equals approximately 10.8 square feet. </w:t>
      </w:r>
    </w:p>
    <w:p w:rsidR="00000000" w:rsidRDefault="003E5AFF">
      <w:pPr>
        <w:pStyle w:val="NormalWeb"/>
        <w:spacing w:before="120" w:beforeAutospacing="0" w:after="0" w:afterAutospacing="0"/>
      </w:pPr>
      <w:r>
        <w:rPr>
          <w:rFonts w:ascii="Arial" w:hAnsi="Arial" w:cs="Arial"/>
        </w:rPr>
        <w:t>We own or have rights to use t</w:t>
      </w:r>
      <w:r>
        <w:rPr>
          <w:rFonts w:ascii="Arial" w:hAnsi="Arial" w:cs="Arial"/>
        </w:rPr>
        <w:t>he trademarks, service marks and trade names that we use in conjunction with the operation of our business. Some of the more important trademarks that we own or have rights to use that appear in this prospectus include: Jumb</w:t>
      </w:r>
      <w:r>
        <w:rPr>
          <w:rFonts w:ascii="Arial" w:hAnsi="Arial" w:cs="Arial"/>
        </w:rPr>
        <w:t>o</w:t>
      </w:r>
      <w:r>
        <w:rPr>
          <w:rFonts w:ascii="Arial" w:hAnsi="Arial" w:cs="Arial"/>
          <w:sz w:val="15"/>
          <w:szCs w:val="15"/>
          <w:vertAlign w:val="superscript"/>
        </w:rPr>
        <w:t>_</w:t>
      </w:r>
      <w:r>
        <w:rPr>
          <w:rFonts w:ascii="Arial" w:hAnsi="Arial" w:cs="Arial"/>
        </w:rPr>
        <w:t>, Jumbo M_</w:t>
      </w:r>
      <w:r>
        <w:rPr>
          <w:rFonts w:ascii="Arial" w:hAnsi="Arial" w:cs="Arial"/>
        </w:rPr>
        <w:t>s</w:t>
      </w:r>
      <w:r>
        <w:rPr>
          <w:rFonts w:ascii="Arial" w:hAnsi="Arial" w:cs="Arial"/>
          <w:sz w:val="15"/>
          <w:szCs w:val="15"/>
          <w:vertAlign w:val="superscript"/>
        </w:rPr>
        <w:t>_</w:t>
      </w:r>
      <w:r>
        <w:rPr>
          <w:rFonts w:ascii="Arial" w:hAnsi="Arial" w:cs="Arial"/>
        </w:rPr>
        <w:t>, Eas</w:t>
      </w:r>
      <w:r>
        <w:rPr>
          <w:rFonts w:ascii="Arial" w:hAnsi="Arial" w:cs="Arial"/>
        </w:rPr>
        <w:t>y</w:t>
      </w:r>
      <w:r>
        <w:rPr>
          <w:rFonts w:ascii="Arial" w:hAnsi="Arial" w:cs="Arial"/>
          <w:sz w:val="15"/>
          <w:szCs w:val="15"/>
          <w:vertAlign w:val="superscript"/>
        </w:rPr>
        <w:t>_</w:t>
      </w:r>
      <w:r>
        <w:rPr>
          <w:rFonts w:ascii="Arial" w:hAnsi="Arial" w:cs="Arial"/>
        </w:rPr>
        <w:t>, M_s Eas</w:t>
      </w:r>
      <w:r>
        <w:rPr>
          <w:rFonts w:ascii="Arial" w:hAnsi="Arial" w:cs="Arial"/>
        </w:rPr>
        <w:t>y</w:t>
      </w:r>
      <w:r>
        <w:rPr>
          <w:rFonts w:ascii="Arial" w:hAnsi="Arial" w:cs="Arial"/>
          <w:sz w:val="15"/>
          <w:szCs w:val="15"/>
          <w:vertAlign w:val="superscript"/>
        </w:rPr>
        <w:t>_</w:t>
      </w:r>
      <w:r>
        <w:rPr>
          <w:rFonts w:ascii="Arial" w:hAnsi="Arial" w:cs="Arial"/>
        </w:rPr>
        <w:t>, Santa Isabe</w:t>
      </w:r>
      <w:r>
        <w:rPr>
          <w:rFonts w:ascii="Arial" w:hAnsi="Arial" w:cs="Arial"/>
        </w:rPr>
        <w:t>l</w:t>
      </w:r>
      <w:r>
        <w:rPr>
          <w:rFonts w:ascii="Arial" w:hAnsi="Arial" w:cs="Arial"/>
          <w:sz w:val="15"/>
          <w:szCs w:val="15"/>
          <w:vertAlign w:val="superscript"/>
        </w:rPr>
        <w:t>_</w:t>
      </w:r>
      <w:r>
        <w:rPr>
          <w:rFonts w:ascii="Arial" w:hAnsi="Arial" w:cs="Arial"/>
        </w:rPr>
        <w:t>, Disc</w:t>
      </w:r>
      <w:r>
        <w:rPr>
          <w:rFonts w:ascii="Arial" w:hAnsi="Arial" w:cs="Arial"/>
        </w:rPr>
        <w:t>o</w:t>
      </w:r>
      <w:r>
        <w:rPr>
          <w:rFonts w:ascii="Arial" w:hAnsi="Arial" w:cs="Arial"/>
          <w:sz w:val="15"/>
          <w:szCs w:val="15"/>
          <w:vertAlign w:val="superscript"/>
        </w:rPr>
        <w:t>_</w:t>
      </w:r>
      <w:r>
        <w:rPr>
          <w:rFonts w:ascii="Arial" w:hAnsi="Arial" w:cs="Arial"/>
        </w:rPr>
        <w:t>, Ve</w:t>
      </w:r>
      <w:r>
        <w:rPr>
          <w:rFonts w:ascii="Arial" w:hAnsi="Arial" w:cs="Arial"/>
        </w:rPr>
        <w:t>a</w:t>
      </w:r>
      <w:r>
        <w:rPr>
          <w:rFonts w:ascii="Arial" w:hAnsi="Arial" w:cs="Arial"/>
          <w:sz w:val="15"/>
          <w:szCs w:val="15"/>
          <w:vertAlign w:val="superscript"/>
        </w:rPr>
        <w:t>_</w:t>
      </w:r>
      <w:r>
        <w:rPr>
          <w:rFonts w:ascii="Arial" w:hAnsi="Arial" w:cs="Arial"/>
        </w:rPr>
        <w:t>, Super Ve</w:t>
      </w:r>
      <w:r>
        <w:rPr>
          <w:rFonts w:ascii="Arial" w:hAnsi="Arial" w:cs="Arial"/>
        </w:rPr>
        <w:t>a</w:t>
      </w:r>
      <w:r>
        <w:rPr>
          <w:rFonts w:ascii="Arial" w:hAnsi="Arial" w:cs="Arial"/>
          <w:sz w:val="15"/>
          <w:szCs w:val="15"/>
          <w:vertAlign w:val="superscript"/>
        </w:rPr>
        <w:t>_</w:t>
      </w:r>
      <w:r>
        <w:rPr>
          <w:rFonts w:ascii="Arial" w:hAnsi="Arial" w:cs="Arial"/>
        </w:rPr>
        <w:t>, Blaiste</w:t>
      </w:r>
      <w:r>
        <w:rPr>
          <w:rFonts w:ascii="Arial" w:hAnsi="Arial" w:cs="Arial"/>
        </w:rPr>
        <w:t>n</w:t>
      </w:r>
      <w:r>
        <w:rPr>
          <w:rFonts w:ascii="Arial" w:hAnsi="Arial" w:cs="Arial"/>
          <w:sz w:val="15"/>
          <w:szCs w:val="15"/>
          <w:vertAlign w:val="superscript"/>
        </w:rPr>
        <w:t>_</w:t>
      </w:r>
      <w:r>
        <w:rPr>
          <w:rFonts w:ascii="Arial" w:hAnsi="Arial" w:cs="Arial"/>
        </w:rPr>
        <w:t>, Johnson_</w:t>
      </w:r>
      <w:r>
        <w:rPr>
          <w:rFonts w:ascii="Arial" w:hAnsi="Arial" w:cs="Arial"/>
        </w:rPr>
        <w:t>s</w:t>
      </w:r>
      <w:r>
        <w:rPr>
          <w:rFonts w:ascii="Arial" w:hAnsi="Arial" w:cs="Arial"/>
          <w:sz w:val="15"/>
          <w:szCs w:val="15"/>
          <w:vertAlign w:val="superscript"/>
        </w:rPr>
        <w:t>_</w:t>
      </w:r>
      <w:r>
        <w:rPr>
          <w:rFonts w:ascii="Arial" w:hAnsi="Arial" w:cs="Arial"/>
        </w:rPr>
        <w:t>, Pari</w:t>
      </w:r>
      <w:r>
        <w:rPr>
          <w:rFonts w:ascii="Arial" w:hAnsi="Arial" w:cs="Arial"/>
        </w:rPr>
        <w:t>s</w:t>
      </w:r>
      <w:r>
        <w:rPr>
          <w:rFonts w:ascii="Arial" w:hAnsi="Arial" w:cs="Arial"/>
          <w:sz w:val="15"/>
          <w:szCs w:val="15"/>
          <w:vertAlign w:val="superscript"/>
        </w:rPr>
        <w:t>_</w:t>
      </w:r>
      <w:r>
        <w:rPr>
          <w:rFonts w:ascii="Arial" w:hAnsi="Arial" w:cs="Arial"/>
        </w:rPr>
        <w:t>, M_s Pari</w:t>
      </w:r>
      <w:r>
        <w:rPr>
          <w:rFonts w:ascii="Arial" w:hAnsi="Arial" w:cs="Arial"/>
        </w:rPr>
        <w:t>s</w:t>
      </w:r>
      <w:r>
        <w:rPr>
          <w:rFonts w:ascii="Arial" w:hAnsi="Arial" w:cs="Arial"/>
          <w:sz w:val="15"/>
          <w:szCs w:val="15"/>
          <w:vertAlign w:val="superscript"/>
        </w:rPr>
        <w:t>_</w:t>
      </w:r>
      <w:r>
        <w:rPr>
          <w:rFonts w:ascii="Arial" w:hAnsi="Arial" w:cs="Arial"/>
        </w:rPr>
        <w:t>, Paris Corredores de Seguro</w:t>
      </w:r>
      <w:r>
        <w:rPr>
          <w:rFonts w:ascii="Arial" w:hAnsi="Arial" w:cs="Arial"/>
        </w:rPr>
        <w:t>s</w:t>
      </w:r>
      <w:r>
        <w:rPr>
          <w:rFonts w:ascii="Arial" w:hAnsi="Arial" w:cs="Arial"/>
          <w:sz w:val="15"/>
          <w:szCs w:val="15"/>
          <w:vertAlign w:val="superscript"/>
        </w:rPr>
        <w:t>_</w:t>
      </w:r>
      <w:r>
        <w:rPr>
          <w:rFonts w:ascii="Arial" w:hAnsi="Arial" w:cs="Arial"/>
        </w:rPr>
        <w:t>, Banco Pari</w:t>
      </w:r>
      <w:r>
        <w:rPr>
          <w:rFonts w:ascii="Arial" w:hAnsi="Arial" w:cs="Arial"/>
        </w:rPr>
        <w:t>s</w:t>
      </w:r>
      <w:r>
        <w:rPr>
          <w:rFonts w:ascii="Arial" w:hAnsi="Arial" w:cs="Arial"/>
          <w:sz w:val="15"/>
          <w:szCs w:val="15"/>
          <w:vertAlign w:val="superscript"/>
        </w:rPr>
        <w:t>_</w:t>
      </w:r>
      <w:r>
        <w:rPr>
          <w:rFonts w:ascii="Arial" w:hAnsi="Arial" w:cs="Arial"/>
        </w:rPr>
        <w:t>, Circulo M_</w:t>
      </w:r>
      <w:r>
        <w:rPr>
          <w:rFonts w:ascii="Arial" w:hAnsi="Arial" w:cs="Arial"/>
        </w:rPr>
        <w:t>s</w:t>
      </w:r>
      <w:r>
        <w:rPr>
          <w:rFonts w:ascii="Arial" w:hAnsi="Arial" w:cs="Arial"/>
          <w:sz w:val="15"/>
          <w:szCs w:val="15"/>
          <w:vertAlign w:val="superscript"/>
        </w:rPr>
        <w:t>_</w:t>
      </w:r>
      <w:r>
        <w:rPr>
          <w:rFonts w:ascii="Arial" w:hAnsi="Arial" w:cs="Arial"/>
        </w:rPr>
        <w:t>, Won</w:t>
      </w:r>
      <w:r>
        <w:rPr>
          <w:rFonts w:ascii="Arial" w:hAnsi="Arial" w:cs="Arial"/>
        </w:rPr>
        <w:t>g</w:t>
      </w:r>
      <w:r>
        <w:rPr>
          <w:rFonts w:ascii="Arial" w:hAnsi="Arial" w:cs="Arial"/>
          <w:sz w:val="15"/>
          <w:szCs w:val="15"/>
          <w:vertAlign w:val="superscript"/>
        </w:rPr>
        <w:t>_</w:t>
      </w:r>
      <w:r>
        <w:rPr>
          <w:rFonts w:ascii="Arial" w:hAnsi="Arial" w:cs="Arial"/>
        </w:rPr>
        <w:t>, Metr</w:t>
      </w:r>
      <w:r>
        <w:rPr>
          <w:rFonts w:ascii="Arial" w:hAnsi="Arial" w:cs="Arial"/>
        </w:rPr>
        <w:t>o</w:t>
      </w:r>
      <w:r>
        <w:rPr>
          <w:rFonts w:ascii="Arial" w:hAnsi="Arial" w:cs="Arial"/>
          <w:sz w:val="15"/>
          <w:szCs w:val="15"/>
          <w:vertAlign w:val="superscript"/>
        </w:rPr>
        <w:t>_</w:t>
      </w:r>
      <w:r>
        <w:rPr>
          <w:rFonts w:ascii="Arial" w:hAnsi="Arial" w:cs="Arial"/>
        </w:rPr>
        <w:t>, GBarbos</w:t>
      </w:r>
      <w:r>
        <w:rPr>
          <w:rFonts w:ascii="Arial" w:hAnsi="Arial" w:cs="Arial"/>
        </w:rPr>
        <w:t>a</w:t>
      </w:r>
      <w:r>
        <w:rPr>
          <w:rFonts w:ascii="Arial" w:hAnsi="Arial" w:cs="Arial"/>
          <w:sz w:val="15"/>
          <w:szCs w:val="15"/>
          <w:vertAlign w:val="superscript"/>
        </w:rPr>
        <w:t>_</w:t>
      </w:r>
      <w:r>
        <w:rPr>
          <w:rFonts w:ascii="Arial" w:hAnsi="Arial" w:cs="Arial"/>
        </w:rPr>
        <w:t>, Perin</w:t>
      </w:r>
      <w:r>
        <w:rPr>
          <w:rFonts w:ascii="Arial" w:hAnsi="Arial" w:cs="Arial"/>
        </w:rPr>
        <w:t>i</w:t>
      </w:r>
      <w:r>
        <w:rPr>
          <w:rFonts w:ascii="Arial" w:hAnsi="Arial" w:cs="Arial"/>
          <w:sz w:val="15"/>
          <w:szCs w:val="15"/>
          <w:vertAlign w:val="superscript"/>
        </w:rPr>
        <w:t>_</w:t>
      </w:r>
      <w:r>
        <w:rPr>
          <w:rFonts w:ascii="Arial" w:hAnsi="Arial" w:cs="Arial"/>
        </w:rPr>
        <w:t>, Super Famili</w:t>
      </w:r>
      <w:r>
        <w:rPr>
          <w:rFonts w:ascii="Arial" w:hAnsi="Arial" w:cs="Arial"/>
        </w:rPr>
        <w:t>a</w:t>
      </w:r>
      <w:r>
        <w:rPr>
          <w:rFonts w:ascii="Arial" w:hAnsi="Arial" w:cs="Arial"/>
          <w:sz w:val="15"/>
          <w:szCs w:val="15"/>
          <w:vertAlign w:val="superscript"/>
        </w:rPr>
        <w:t>_</w:t>
      </w:r>
      <w:r>
        <w:rPr>
          <w:rFonts w:ascii="Arial" w:hAnsi="Arial" w:cs="Arial"/>
        </w:rPr>
        <w:t>, Breta</w:t>
      </w:r>
      <w:r>
        <w:rPr>
          <w:rFonts w:ascii="Arial" w:hAnsi="Arial" w:cs="Arial"/>
        </w:rPr>
        <w:t>s</w:t>
      </w:r>
      <w:r>
        <w:rPr>
          <w:rFonts w:ascii="Arial" w:hAnsi="Arial" w:cs="Arial"/>
          <w:sz w:val="15"/>
          <w:szCs w:val="15"/>
          <w:vertAlign w:val="superscript"/>
        </w:rPr>
        <w:t>_</w:t>
      </w:r>
      <w:r>
        <w:rPr>
          <w:rFonts w:ascii="Arial" w:hAnsi="Arial" w:cs="Arial"/>
        </w:rPr>
        <w:t xml:space="preserve"> and Prezuni</w:t>
      </w:r>
      <w:r>
        <w:rPr>
          <w:rFonts w:ascii="Arial" w:hAnsi="Arial" w:cs="Arial"/>
        </w:rPr>
        <w:t>c</w:t>
      </w:r>
      <w:r>
        <w:rPr>
          <w:rFonts w:ascii="Arial" w:hAnsi="Arial" w:cs="Arial"/>
          <w:sz w:val="15"/>
          <w:szCs w:val="15"/>
          <w:vertAlign w:val="superscript"/>
        </w:rPr>
        <w:t>_</w:t>
      </w:r>
      <w:r>
        <w:rPr>
          <w:rFonts w:ascii="Arial" w:hAnsi="Arial" w:cs="Arial"/>
        </w:rPr>
        <w:t>, each of which may be registered or trademarked in any of Argentina, Brazil, Chile, Colombia, Peru or other jurisdictions. Solely for convenience, we may refer to our trademarks, service marks and trade names in this prospectus without the _ and</w:t>
      </w:r>
      <w:r>
        <w:rPr>
          <w:rFonts w:ascii="Arial" w:hAnsi="Arial" w:cs="Arial"/>
        </w:rPr>
        <w:t xml:space="preserve"> </w:t>
      </w:r>
      <w:r>
        <w:rPr>
          <w:rFonts w:ascii="Arial" w:hAnsi="Arial" w:cs="Arial"/>
          <w:sz w:val="15"/>
          <w:szCs w:val="15"/>
          <w:vertAlign w:val="superscript"/>
        </w:rPr>
        <w:t>_</w:t>
      </w:r>
      <w:r>
        <w:rPr>
          <w:rFonts w:ascii="Arial" w:hAnsi="Arial" w:cs="Arial"/>
        </w:rPr>
        <w:t xml:space="preserve"> symbols</w:t>
      </w:r>
      <w:r>
        <w:rPr>
          <w:rFonts w:ascii="Arial" w:hAnsi="Arial" w:cs="Arial"/>
        </w:rPr>
        <w:t>, but such references are not intended to indicate, in any way, that we will not assert, to the fullest extent permitted under applicable law, our rights to our trademarks, service marks and trade names. Each trademark, trade name or service mark of any ot</w:t>
      </w:r>
      <w:r>
        <w:rPr>
          <w:rFonts w:ascii="Arial" w:hAnsi="Arial" w:cs="Arial"/>
        </w:rPr>
        <w:t xml:space="preserve">her company appearing in this prospectus is, to our knowledge, owned by such other company. </w:t>
      </w:r>
    </w:p>
    <w:p w:rsidR="00000000" w:rsidRDefault="003E5AFF">
      <w:pPr>
        <w:pStyle w:val="NormalWeb"/>
        <w:spacing w:before="240" w:beforeAutospacing="0" w:after="0" w:afterAutospacing="0"/>
      </w:pPr>
      <w:r>
        <w:rPr>
          <w:rFonts w:ascii="Arial" w:hAnsi="Arial" w:cs="Arial"/>
          <w:b/>
          <w:bCs/>
          <w:sz w:val="24"/>
          <w:szCs w:val="24"/>
        </w:rPr>
        <w:t xml:space="preserve">Special note regarding non-IFRS financial measures </w:t>
      </w:r>
    </w:p>
    <w:p w:rsidR="00000000" w:rsidRDefault="003E5AFF">
      <w:pPr>
        <w:pStyle w:val="NormalWeb"/>
        <w:spacing w:before="120" w:beforeAutospacing="0" w:after="0" w:afterAutospacing="0"/>
      </w:pPr>
      <w:r>
        <w:rPr>
          <w:rFonts w:ascii="Arial" w:hAnsi="Arial" w:cs="Arial"/>
        </w:rPr>
        <w:t>This prospectus makes reference to certain non-IFRS measures, namely EBIT, EBITDA and Adjusted EBITDA. These non-IFRS measures are not recognized measures under IFRS, do not have a standardized meaning prescribed by IFRS and are therefore unlikely to be co</w:t>
      </w:r>
      <w:r>
        <w:rPr>
          <w:rFonts w:ascii="Arial" w:hAnsi="Arial" w:cs="Arial"/>
        </w:rPr>
        <w:t>mparable to similar measures presented by other companies. Rather, these measures are provided as additional information to complement IFRS measures by providing further understanding of the Company_ results of operations from management_s perspective. Acc</w:t>
      </w:r>
      <w:r>
        <w:rPr>
          <w:rFonts w:ascii="Arial" w:hAnsi="Arial" w:cs="Arial"/>
        </w:rPr>
        <w:t xml:space="preserve">ordingly, they should not be considered in isolation nor as a substitute for analysis of our financial information reported under IFRS. </w:t>
      </w:r>
    </w:p>
    <w:p w:rsidR="00000000" w:rsidRDefault="003E5AFF">
      <w:pPr>
        <w:pStyle w:val="NormalWeb"/>
        <w:spacing w:before="120" w:beforeAutospacing="0" w:after="0" w:afterAutospacing="0"/>
      </w:pPr>
      <w:r>
        <w:rPr>
          <w:rFonts w:ascii="Arial" w:hAnsi="Arial" w:cs="Arial"/>
        </w:rPr>
        <w:t>EBIT represents profit attributable to controlling shareholders before net interest expense and income taxes. EBITDA re</w:t>
      </w:r>
      <w:r>
        <w:rPr>
          <w:rFonts w:ascii="Arial" w:hAnsi="Arial" w:cs="Arial"/>
        </w:rPr>
        <w:t>presents EBIT plus depreciation and amortization expense. Adjusted EBITDA represents EBITDA as further adjusted to reflect items set forth in the table below. We have included EBIT, EBITDA and Adjusted EBITDA to provide investors with a supplemental measur</w:t>
      </w:r>
      <w:r>
        <w:rPr>
          <w:rFonts w:ascii="Arial" w:hAnsi="Arial" w:cs="Arial"/>
        </w:rPr>
        <w:t xml:space="preserve">e of our operating performance. </w:t>
      </w:r>
    </w:p>
    <w:p w:rsidR="00000000" w:rsidRDefault="003E5AFF">
      <w:pPr>
        <w:pStyle w:val="NormalWeb"/>
        <w:spacing w:before="120" w:beforeAutospacing="0" w:after="0" w:afterAutospacing="0"/>
      </w:pPr>
      <w:r>
        <w:rPr>
          <w:rFonts w:ascii="Arial" w:hAnsi="Arial" w:cs="Arial"/>
        </w:rPr>
        <w:t>We believe EBIT, EBITDA and Adjusted EBITDA are an important supplemental measure of operating performance because they eliminate items that have less bearing on our operating performance and thus highlight trends in our co</w:t>
      </w:r>
      <w:r>
        <w:rPr>
          <w:rFonts w:ascii="Arial" w:hAnsi="Arial" w:cs="Arial"/>
        </w:rPr>
        <w:t xml:space="preserve">re business that may not otherwise be apparent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- 63 - </w:t>
      </w:r>
    </w:p>
    <w:p w:rsidR="00000000" w:rsidRDefault="003E5AFF">
      <w:pPr>
        <w:rPr>
          <w:rFonts w:eastAsia="Times New Roman" w:cs="Times New Roman"/>
        </w:rPr>
      </w:pPr>
      <w:r>
        <w:rPr>
          <w:rFonts w:eastAsia="Times New Roman" w:cs="Times New Roman"/>
        </w:rPr>
        <w:pict>
          <v:rect id="_x0000_i1097" style="width:441.9pt;height:3pt" o:hralign="center" o:hrstd="t" o:hrnoshade="t" o:hr="t" fillcolor="#999" stroked="f"/>
        </w:pict>
      </w:r>
    </w:p>
    <w:p w:rsidR="00000000" w:rsidRDefault="003E5AFF">
      <w:pPr>
        <w:pStyle w:val="Heading5"/>
        <w:rPr>
          <w:rFonts w:eastAsia="Times New Roman" w:cs="Times New Roman"/>
        </w:rPr>
      </w:pPr>
      <w:hyperlink r:id="rId11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when relying solely on IFRS financial measures. We also believe that securities analysts, investors and other interested parties frequently use EBITDA in the evaluation of issuers, many of which present EBIT</w:t>
      </w:r>
      <w:r>
        <w:rPr>
          <w:rFonts w:ascii="Arial" w:hAnsi="Arial" w:cs="Arial"/>
        </w:rPr>
        <w:t xml:space="preserve">DA when reporting their results. </w:t>
      </w:r>
    </w:p>
    <w:p w:rsidR="00000000" w:rsidRDefault="003E5AFF">
      <w:pPr>
        <w:pStyle w:val="NormalWeb"/>
        <w:spacing w:before="120" w:beforeAutospacing="0" w:after="0" w:afterAutospacing="0"/>
      </w:pPr>
      <w:r>
        <w:rPr>
          <w:rFonts w:ascii="Arial" w:hAnsi="Arial" w:cs="Arial"/>
        </w:rPr>
        <w:t>Our management also uses EBITDA and Adjusted EBITDA in order to facilitate operating performance comparisons from period to period, prepare annual operating budgets, assess our ability to meet our future debt service, capi</w:t>
      </w:r>
      <w:r>
        <w:rPr>
          <w:rFonts w:ascii="Arial" w:hAnsi="Arial" w:cs="Arial"/>
        </w:rPr>
        <w:t xml:space="preserve">tal expenditure and working capital requirements and assess our ability to pay dividends on our capital stock. </w:t>
      </w:r>
    </w:p>
    <w:p w:rsidR="00000000" w:rsidRDefault="003E5AFF">
      <w:pPr>
        <w:pStyle w:val="NormalWeb"/>
        <w:spacing w:before="120" w:beforeAutospacing="0" w:after="0" w:afterAutospacing="0"/>
      </w:pPr>
      <w:r>
        <w:rPr>
          <w:rFonts w:ascii="Arial" w:hAnsi="Arial" w:cs="Arial"/>
        </w:rPr>
        <w:t>EBIT, EBITDA and Adjusted EBITDA have important limitations as analytical tools. For example, neither EBIT, EBITDA nor Adjusted EBITDA reflect (</w:t>
      </w:r>
      <w:r>
        <w:rPr>
          <w:rFonts w:ascii="Arial" w:hAnsi="Arial" w:cs="Arial"/>
        </w:rPr>
        <w:t>a) our cash expenditures, or future requirements for capital expenditures or contractual commitments; (b) changes in, or cash requirements for, our working capital needs; (c) the significant interest expense, or the cash requirements necessary to service i</w:t>
      </w:r>
      <w:r>
        <w:rPr>
          <w:rFonts w:ascii="Arial" w:hAnsi="Arial" w:cs="Arial"/>
        </w:rPr>
        <w:t>nterest or principal payments, on our debt; and (d) tax payments or distributions to our parent to make payments with respect to taxes attributable to us that represent a reduction in cash available to us. Although we consider the items excluded in the cal</w:t>
      </w:r>
      <w:r>
        <w:rPr>
          <w:rFonts w:ascii="Arial" w:hAnsi="Arial" w:cs="Arial"/>
        </w:rPr>
        <w:t xml:space="preserve">culation of non-IFRS measures to be less relevant to evaluate our performance, some of these items may continue to take place and accordingly may reduce the cash available to us. </w:t>
      </w:r>
    </w:p>
    <w:p w:rsidR="00000000" w:rsidRDefault="003E5AFF">
      <w:pPr>
        <w:pStyle w:val="NormalWeb"/>
        <w:spacing w:before="120" w:beforeAutospacing="0" w:after="0" w:afterAutospacing="0"/>
      </w:pPr>
      <w:r>
        <w:rPr>
          <w:rFonts w:ascii="Arial" w:hAnsi="Arial" w:cs="Arial"/>
        </w:rPr>
        <w:t>We believe that the presentation of the non-IFRS measures described above is</w:t>
      </w:r>
      <w:r>
        <w:rPr>
          <w:rFonts w:ascii="Arial" w:hAnsi="Arial" w:cs="Arial"/>
        </w:rPr>
        <w:t xml:space="preserve"> appropriate. However, these non-IFRS measures have important limitations as analytical tools, and you should not consider them in isolation, or as substitutes for analysis of our results as reported under IFRS. Because of these limitations, we primarily r</w:t>
      </w:r>
      <w:r>
        <w:rPr>
          <w:rFonts w:ascii="Arial" w:hAnsi="Arial" w:cs="Arial"/>
        </w:rPr>
        <w:t>ely on our results as reported in accordance with IFRS and use EBIT, EBITDA and Adjusted EBITDA only supplementally. In addition, because other companies may calculate EBITDA and Adjusted EBITDA differently than we do, EBITDA may not be, and Adjusted EBITD</w:t>
      </w:r>
      <w:r>
        <w:rPr>
          <w:rFonts w:ascii="Arial" w:hAnsi="Arial" w:cs="Arial"/>
        </w:rPr>
        <w:t xml:space="preserve">A as presented in this report is not, comparable to similarly titled measures reported by other companies.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- 64 - </w:t>
      </w:r>
    </w:p>
    <w:p w:rsidR="00000000" w:rsidRDefault="003E5AFF">
      <w:pPr>
        <w:rPr>
          <w:rFonts w:eastAsia="Times New Roman" w:cs="Times New Roman"/>
        </w:rPr>
      </w:pPr>
      <w:r>
        <w:rPr>
          <w:rFonts w:eastAsia="Times New Roman" w:cs="Times New Roman"/>
        </w:rPr>
        <w:pict>
          <v:rect id="_x0000_i1098" style="width:441.9pt;height:3pt" o:hralign="center" o:hrstd="t" o:hrnoshade="t" o:hr="t" fillcolor="#999" stroked="f"/>
        </w:pict>
      </w:r>
    </w:p>
    <w:p w:rsidR="00000000" w:rsidRDefault="003E5AFF">
      <w:pPr>
        <w:pStyle w:val="Heading5"/>
        <w:rPr>
          <w:rFonts w:eastAsia="Times New Roman" w:cs="Times New Roman"/>
        </w:rPr>
      </w:pPr>
      <w:hyperlink r:id="rId11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 reconciliation of our profit (loss) attributable to controlling shareholders, the most directly comparable IFRS financial measure, to EBITDA and to Adjusted EBITDA is se</w:t>
      </w:r>
      <w:r>
        <w:rPr>
          <w:rFonts w:ascii="Arial" w:hAnsi="Arial" w:cs="Arial"/>
        </w:rPr>
        <w:t xml:space="preserve">t forth below: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210"/>
        <w:gridCol w:w="248"/>
        <w:gridCol w:w="109"/>
        <w:gridCol w:w="1191"/>
        <w:gridCol w:w="248"/>
        <w:gridCol w:w="248"/>
        <w:gridCol w:w="56"/>
        <w:gridCol w:w="723"/>
        <w:gridCol w:w="123"/>
        <w:gridCol w:w="248"/>
        <w:gridCol w:w="56"/>
        <w:gridCol w:w="723"/>
        <w:gridCol w:w="123"/>
      </w:tblGrid>
      <w:tr w:rsidR="00000000">
        <w:trPr>
          <w:jc w:val="center"/>
        </w:trPr>
        <w:tc>
          <w:tcPr>
            <w:tcW w:w="340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111.63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54,415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65,803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Profit attributable to non-controlling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Net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116.68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56,875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68,859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expense (net)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(96.37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(46,977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(30,266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(58.08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(28,311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EBIT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271.14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132,163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124,512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spacing w:before="0" w:beforeAutospacing="0" w:after="15" w:afterAutospacing="0"/>
              <w:ind w:left="240" w:hanging="240"/>
            </w:pPr>
            <w:r>
              <w:rPr>
                <w:rFonts w:ascii="Arial" w:hAnsi="Arial" w:cs="Arial"/>
              </w:rPr>
              <w:t>Depreciation and amortization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(65.64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(31,995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(29,513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EBITDA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336.78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164,158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154,025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on revaluation of investment properties(1)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42.99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12,151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(Losses) gains from indexation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Adjusted EBITDA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297.95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145,231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151,811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As a % of revenues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Profit (loss)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income (expenses)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Income tax charge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Depreciation and amortization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Increase on revaluation of investment properties(1)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(Losses) gains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Adjusted 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- 65 - </w:t>
      </w:r>
    </w:p>
    <w:p w:rsidR="00000000" w:rsidRDefault="003E5AFF">
      <w:pPr>
        <w:rPr>
          <w:rFonts w:eastAsia="Times New Roman" w:cs="Times New Roman"/>
        </w:rPr>
      </w:pPr>
      <w:r>
        <w:rPr>
          <w:rFonts w:eastAsia="Times New Roman" w:cs="Times New Roman"/>
        </w:rPr>
        <w:pict>
          <v:rect id="_x0000_i1099" style="width:441.9pt;height:3pt" o:hralign="center" o:hrstd="t" o:hrnoshade="t" o:hr="t" fillcolor="#999" stroked="f"/>
        </w:pict>
      </w:r>
    </w:p>
    <w:p w:rsidR="00000000" w:rsidRDefault="003E5AFF">
      <w:pPr>
        <w:pStyle w:val="Heading5"/>
        <w:rPr>
          <w:rFonts w:eastAsia="Times New Roman" w:cs="Times New Roman"/>
        </w:rPr>
      </w:pPr>
      <w:hyperlink r:id="rId116"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3234"/>
        <w:gridCol w:w="173"/>
        <w:gridCol w:w="87"/>
        <w:gridCol w:w="1213"/>
        <w:gridCol w:w="173"/>
        <w:gridCol w:w="173"/>
        <w:gridCol w:w="56"/>
        <w:gridCol w:w="790"/>
        <w:gridCol w:w="123"/>
        <w:gridCol w:w="173"/>
        <w:gridCol w:w="56"/>
        <w:gridCol w:w="790"/>
        <w:gridCol w:w="123"/>
        <w:gridCol w:w="173"/>
        <w:gridCol w:w="56"/>
        <w:gridCol w:w="790"/>
        <w:gridCol w:w="123"/>
      </w:tblGrid>
      <w:tr w:rsidR="00000000">
        <w:trPr>
          <w:jc w:val="center"/>
        </w:trPr>
        <w:tc>
          <w:tcPr>
            <w:tcW w:w="28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 of</w:t>
            </w:r>
            <w:r>
              <w:rPr>
                <w:rFonts w:ascii="Arial" w:eastAsia="Times New Roman" w:hAnsi="Arial" w:cs="Arial"/>
                <w:b/>
                <w:bCs/>
              </w:rPr>
              <w:br/>
              <w:t>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586.56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285,915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296,261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243,597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Profit attributable to non-controlling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25.67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12,511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Net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612.23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298,426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306,481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247,546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expense (net)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273.17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(133,152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(69,807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(89,592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245.27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(119,556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EBIT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1,130.67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551,133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453,119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391,038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spacing w:before="0" w:beforeAutospacing="0" w:after="15" w:afterAutospacing="0"/>
              <w:ind w:left="240" w:hanging="240"/>
            </w:pPr>
            <w:r>
              <w:rPr>
                <w:rFonts w:ascii="Arial" w:hAnsi="Arial" w:cs="Arial"/>
              </w:rPr>
              <w:t>Depreciation and amortization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246.54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(120,174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(102,310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(101,533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EBITDA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1,377.21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671,308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555,429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492,571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20.26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on revaluation of investment properties(1)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149.35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72,798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37,573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(Losses) gains from indexation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(64.19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(31,289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12,957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Negative goodwill associated with Johnson_s acquisition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Adjusted 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1,284.55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626,141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535,565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478,976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As a % of revenues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tcBorders>
              <w:right w:val="single" w:sz="6" w:space="0" w:color="000000"/>
            </w:tcBorders>
            <w:shd w:val="clear" w:color="auto" w:fill="CCEEFF"/>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b/>
                <w:bCs/>
              </w:rPr>
              <w:t>Profit (loss)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income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EBIT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Depreciation and amortization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EBITDA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on revaluation of investment properties(1)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(Losses) gains from indexation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Adjusted EBITDA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a fair value adjustment of investment properties, through the application of discounted cash flows.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- 66 - </w:t>
      </w:r>
    </w:p>
    <w:p w:rsidR="00000000" w:rsidRDefault="003E5AFF">
      <w:pPr>
        <w:rPr>
          <w:rFonts w:eastAsia="Times New Roman" w:cs="Times New Roman"/>
        </w:rPr>
      </w:pPr>
      <w:r>
        <w:rPr>
          <w:rFonts w:eastAsia="Times New Roman" w:cs="Times New Roman"/>
        </w:rPr>
        <w:pict>
          <v:rect id="_x0000_i1100" style="width:441.9pt;height:3pt" o:hralign="center" o:hrstd="t" o:hrnoshade="t" o:hr="t" fillcolor="#999" stroked="f"/>
        </w:pict>
      </w:r>
    </w:p>
    <w:p w:rsidR="00000000" w:rsidRDefault="003E5AFF">
      <w:pPr>
        <w:pStyle w:val="Heading5"/>
        <w:rPr>
          <w:rFonts w:eastAsia="Times New Roman" w:cs="Times New Roman"/>
        </w:rPr>
      </w:pPr>
      <w:hyperlink r:id="rId11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 reconciliation of our profit (loss) attributable to controlli</w:t>
      </w:r>
      <w:r>
        <w:rPr>
          <w:rFonts w:ascii="Arial" w:hAnsi="Arial" w:cs="Arial"/>
        </w:rPr>
        <w:t xml:space="preserve">ng shareholders, the most directly comparable IFRS financial measure, to EBITDA and to Adjusted EBITDA per business segment is included below: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157"/>
        <w:gridCol w:w="50"/>
        <w:gridCol w:w="76"/>
        <w:gridCol w:w="925"/>
        <w:gridCol w:w="123"/>
        <w:gridCol w:w="50"/>
        <w:gridCol w:w="58"/>
        <w:gridCol w:w="634"/>
        <w:gridCol w:w="123"/>
        <w:gridCol w:w="50"/>
        <w:gridCol w:w="79"/>
        <w:gridCol w:w="864"/>
        <w:gridCol w:w="123"/>
        <w:gridCol w:w="50"/>
        <w:gridCol w:w="75"/>
        <w:gridCol w:w="759"/>
        <w:gridCol w:w="123"/>
        <w:gridCol w:w="51"/>
        <w:gridCol w:w="56"/>
        <w:gridCol w:w="612"/>
        <w:gridCol w:w="123"/>
        <w:gridCol w:w="51"/>
        <w:gridCol w:w="56"/>
        <w:gridCol w:w="790"/>
        <w:gridCol w:w="123"/>
        <w:gridCol w:w="51"/>
        <w:gridCol w:w="68"/>
        <w:gridCol w:w="883"/>
        <w:gridCol w:w="123"/>
      </w:tblGrid>
      <w:tr w:rsidR="00000000">
        <w:trPr>
          <w:jc w:val="center"/>
        </w:trPr>
        <w:tc>
          <w:tcPr>
            <w:tcW w:w="20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sz w:val="15"/>
                <w:szCs w:val="15"/>
              </w:rPr>
              <w:t>Information by segment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Supermarkets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pStyle w:val="NormalWeb"/>
              <w:spacing w:before="0" w:beforeAutospacing="0" w:after="0" w:afterAutospacing="0"/>
              <w:jc w:val="right"/>
            </w:pPr>
            <w:r>
              <w:rPr>
                <w:rFonts w:ascii="Arial" w:hAnsi="Arial" w:cs="Arial"/>
                <w:b/>
                <w:bCs/>
                <w:sz w:val="15"/>
                <w:szCs w:val="15"/>
              </w:rPr>
              <w:t>Shopping</w:t>
            </w:r>
          </w:p>
          <w:p w:rsidR="00000000" w:rsidRDefault="003E5AFF">
            <w:pPr>
              <w:pStyle w:val="NormalWeb"/>
              <w:spacing w:before="0" w:beforeAutospacing="0" w:after="15" w:afterAutospacing="0"/>
              <w:jc w:val="right"/>
            </w:pPr>
            <w:r>
              <w:rPr>
                <w:rFonts w:ascii="Arial" w:hAnsi="Arial" w:cs="Arial"/>
                <w:b/>
                <w:bCs/>
                <w:sz w:val="15"/>
                <w:szCs w:val="15"/>
              </w:rPr>
              <w:t>centers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Home</w:t>
            </w:r>
            <w:r>
              <w:rPr>
                <w:rFonts w:ascii="Arial" w:eastAsia="Times New Roman" w:hAnsi="Arial" w:cs="Arial"/>
                <w:b/>
                <w:bCs/>
                <w:sz w:val="15"/>
                <w:szCs w:val="15"/>
              </w:rPr>
              <w:br/>
              <w:t>improvement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Department</w:t>
            </w:r>
            <w:r>
              <w:rPr>
                <w:rFonts w:ascii="Arial" w:eastAsia="Times New Roman" w:hAnsi="Arial" w:cs="Arial"/>
                <w:b/>
                <w:bCs/>
                <w:sz w:val="15"/>
                <w:szCs w:val="15"/>
              </w:rPr>
              <w:br/>
              <w:t>stores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Financial</w:t>
            </w:r>
            <w:r>
              <w:rPr>
                <w:rFonts w:ascii="Arial" w:eastAsia="Times New Roman" w:hAnsi="Arial" w:cs="Arial"/>
                <w:b/>
                <w:bCs/>
                <w:sz w:val="15"/>
                <w:szCs w:val="15"/>
              </w:rPr>
              <w:br/>
              <w:t>services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Other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Consolidated</w:t>
            </w:r>
            <w:r>
              <w:rPr>
                <w:rFonts w:ascii="Arial" w:eastAsia="Times New Roman" w:hAnsi="Arial" w:cs="Arial"/>
                <w:b/>
                <w:bCs/>
                <w:sz w:val="15"/>
                <w:szCs w:val="15"/>
              </w:rPr>
              <w:b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6"/>
            <w:vAlign w:val="bottom"/>
            <w:hideMark/>
          </w:tcPr>
          <w:p w:rsidR="00000000" w:rsidRDefault="003E5AFF">
            <w:pPr>
              <w:jc w:val="right"/>
              <w:rPr>
                <w:rFonts w:eastAsia="Times New Roman" w:cs="Times New Roman"/>
              </w:rPr>
            </w:pPr>
            <w:r>
              <w:rPr>
                <w:rFonts w:ascii="Arial" w:eastAsia="Times New Roman" w:hAnsi="Arial" w:cs="Arial"/>
                <w:b/>
                <w:bCs/>
              </w:rPr>
              <w:t>Quarter ended March 31, 2012 (in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Profit (loss)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74,595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42,144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20,779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23,445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(102,886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54,415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b/>
                <w:bCs/>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74,595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42,144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20,779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23,445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(100,426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56,875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Expense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(46,977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(46,977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Income tax charge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(28,311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(28,311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74,595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42,144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20,779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23,445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(25,138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132,163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Depreciation and amortization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(19,899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(31,995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94,494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42,623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24,021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(24,380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164,158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Increase on revaluation of investment properties(1)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20,954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20,954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(Losses) gains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Adjusted 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94,494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24,021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(22,353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145,231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As a % of revenues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a fair value adjustment of investment properties, through the application of discounted cash flows.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- 67 - </w:t>
      </w:r>
    </w:p>
    <w:p w:rsidR="00000000" w:rsidRDefault="003E5AFF">
      <w:pPr>
        <w:rPr>
          <w:rFonts w:eastAsia="Times New Roman" w:cs="Times New Roman"/>
        </w:rPr>
      </w:pPr>
      <w:r>
        <w:rPr>
          <w:rFonts w:eastAsia="Times New Roman" w:cs="Times New Roman"/>
        </w:rPr>
        <w:pict>
          <v:rect id="_x0000_i1101" style="width:441.9pt;height:3pt" o:hralign="center" o:hrstd="t" o:hrnoshade="t" o:hr="t" fillcolor="#999" stroked="f"/>
        </w:pict>
      </w:r>
    </w:p>
    <w:p w:rsidR="00000000" w:rsidRDefault="003E5AFF">
      <w:pPr>
        <w:pStyle w:val="Heading5"/>
        <w:rPr>
          <w:rFonts w:eastAsia="Times New Roman" w:cs="Times New Roman"/>
        </w:rPr>
      </w:pPr>
      <w:hyperlink r:id="rId118"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1157"/>
        <w:gridCol w:w="56"/>
        <w:gridCol w:w="76"/>
        <w:gridCol w:w="925"/>
        <w:gridCol w:w="123"/>
        <w:gridCol w:w="57"/>
        <w:gridCol w:w="58"/>
        <w:gridCol w:w="634"/>
        <w:gridCol w:w="123"/>
        <w:gridCol w:w="57"/>
        <w:gridCol w:w="79"/>
        <w:gridCol w:w="864"/>
        <w:gridCol w:w="123"/>
        <w:gridCol w:w="57"/>
        <w:gridCol w:w="75"/>
        <w:gridCol w:w="759"/>
        <w:gridCol w:w="123"/>
        <w:gridCol w:w="57"/>
        <w:gridCol w:w="56"/>
        <w:gridCol w:w="612"/>
        <w:gridCol w:w="123"/>
        <w:gridCol w:w="57"/>
        <w:gridCol w:w="56"/>
        <w:gridCol w:w="745"/>
        <w:gridCol w:w="123"/>
        <w:gridCol w:w="57"/>
        <w:gridCol w:w="68"/>
        <w:gridCol w:w="883"/>
        <w:gridCol w:w="123"/>
      </w:tblGrid>
      <w:tr w:rsidR="00000000">
        <w:trPr>
          <w:jc w:val="center"/>
        </w:trPr>
        <w:tc>
          <w:tcPr>
            <w:tcW w:w="20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sz w:val="15"/>
                <w:szCs w:val="15"/>
              </w:rPr>
              <w:t>Information by segment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Supermarkets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pStyle w:val="NormalWeb"/>
              <w:spacing w:before="0" w:beforeAutospacing="0" w:after="0" w:afterAutospacing="0"/>
              <w:jc w:val="right"/>
            </w:pPr>
            <w:r>
              <w:rPr>
                <w:rFonts w:ascii="Arial" w:hAnsi="Arial" w:cs="Arial"/>
                <w:b/>
                <w:bCs/>
                <w:sz w:val="15"/>
                <w:szCs w:val="15"/>
              </w:rPr>
              <w:t>Shopping</w:t>
            </w:r>
          </w:p>
          <w:p w:rsidR="00000000" w:rsidRDefault="003E5AFF">
            <w:pPr>
              <w:pStyle w:val="NormalWeb"/>
              <w:spacing w:before="0" w:beforeAutospacing="0" w:after="15" w:afterAutospacing="0"/>
              <w:jc w:val="right"/>
            </w:pPr>
            <w:r>
              <w:rPr>
                <w:rFonts w:ascii="Arial" w:hAnsi="Arial" w:cs="Arial"/>
                <w:b/>
                <w:bCs/>
                <w:sz w:val="15"/>
                <w:szCs w:val="15"/>
              </w:rPr>
              <w:t>centers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Home</w:t>
            </w:r>
            <w:r>
              <w:rPr>
                <w:rFonts w:ascii="Arial" w:eastAsia="Times New Roman" w:hAnsi="Arial" w:cs="Arial"/>
                <w:b/>
                <w:bCs/>
                <w:sz w:val="15"/>
                <w:szCs w:val="15"/>
              </w:rPr>
              <w:br/>
              <w:t>improvement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Department</w:t>
            </w:r>
            <w:r>
              <w:rPr>
                <w:rFonts w:ascii="Arial" w:eastAsia="Times New Roman" w:hAnsi="Arial" w:cs="Arial"/>
                <w:b/>
                <w:bCs/>
                <w:sz w:val="15"/>
                <w:szCs w:val="15"/>
              </w:rPr>
              <w:br/>
              <w:t>stores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Financial</w:t>
            </w:r>
            <w:r>
              <w:rPr>
                <w:rFonts w:ascii="Arial" w:eastAsia="Times New Roman" w:hAnsi="Arial" w:cs="Arial"/>
                <w:b/>
                <w:bCs/>
                <w:sz w:val="15"/>
                <w:szCs w:val="15"/>
              </w:rPr>
              <w:br/>
              <w:t>services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Other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Consolidated</w:t>
            </w:r>
            <w:r>
              <w:rPr>
                <w:rFonts w:ascii="Arial" w:eastAsia="Times New Roman" w:hAnsi="Arial" w:cs="Arial"/>
                <w:b/>
                <w:bCs/>
                <w:sz w:val="15"/>
                <w:szCs w:val="15"/>
              </w:rPr>
              <w:b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gridSpan w:val="28"/>
            <w:vAlign w:val="bottom"/>
            <w:hideMark/>
          </w:tcPr>
          <w:p w:rsidR="00000000" w:rsidRDefault="003E5AFF">
            <w:pPr>
              <w:jc w:val="right"/>
              <w:rPr>
                <w:rFonts w:eastAsia="Times New Roman" w:cs="Times New Roman"/>
              </w:rPr>
            </w:pPr>
            <w:r>
              <w:rPr>
                <w:rFonts w:ascii="Arial" w:eastAsia="Times New Roman" w:hAnsi="Arial" w:cs="Arial"/>
                <w:b/>
                <w:bCs/>
                <w:sz w:val="15"/>
                <w:szCs w:val="15"/>
              </w:rPr>
              <w:t>Quarter ended March 31, 2011 (in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Profit (loss)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64,087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17,778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29,094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b/>
                <w:bCs/>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64,087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17,778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29,094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(77,079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68,859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Expense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(30,266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(30,266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Income tax charge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(25,386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(25,386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64,087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32,833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29,094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(21,427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124,512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Depreciation and amortization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(18,618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82,705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33,425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22,063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29,877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(20,375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154,025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Increase on revaluation of investment properties(1)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12,151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12,151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(Losses) gains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Adjusted 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82,705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22,063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29,876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(10,437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151,811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As a % of revenues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a fair value adjustment of investment properties, through the application of discounted cash flows. </w:t>
            </w:r>
          </w:p>
        </w:tc>
      </w:tr>
    </w:tbl>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157"/>
        <w:gridCol w:w="38"/>
        <w:gridCol w:w="72"/>
        <w:gridCol w:w="929"/>
        <w:gridCol w:w="123"/>
        <w:gridCol w:w="38"/>
        <w:gridCol w:w="56"/>
        <w:gridCol w:w="723"/>
        <w:gridCol w:w="123"/>
        <w:gridCol w:w="38"/>
        <w:gridCol w:w="72"/>
        <w:gridCol w:w="871"/>
        <w:gridCol w:w="123"/>
        <w:gridCol w:w="38"/>
        <w:gridCol w:w="64"/>
        <w:gridCol w:w="770"/>
        <w:gridCol w:w="123"/>
        <w:gridCol w:w="38"/>
        <w:gridCol w:w="56"/>
        <w:gridCol w:w="612"/>
        <w:gridCol w:w="123"/>
        <w:gridCol w:w="38"/>
        <w:gridCol w:w="56"/>
        <w:gridCol w:w="790"/>
        <w:gridCol w:w="123"/>
        <w:gridCol w:w="38"/>
        <w:gridCol w:w="63"/>
        <w:gridCol w:w="888"/>
        <w:gridCol w:w="123"/>
      </w:tblGrid>
      <w:tr w:rsidR="00000000">
        <w:trPr>
          <w:jc w:val="center"/>
        </w:trPr>
        <w:tc>
          <w:tcPr>
            <w:tcW w:w="18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sz w:val="15"/>
                <w:szCs w:val="15"/>
              </w:rPr>
              <w:t>Information by segment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Supermarkets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pStyle w:val="NormalWeb"/>
              <w:spacing w:before="0" w:beforeAutospacing="0" w:after="0" w:afterAutospacing="0"/>
              <w:jc w:val="right"/>
            </w:pPr>
            <w:r>
              <w:rPr>
                <w:rFonts w:ascii="Arial" w:hAnsi="Arial" w:cs="Arial"/>
                <w:b/>
                <w:bCs/>
                <w:sz w:val="15"/>
                <w:szCs w:val="15"/>
              </w:rPr>
              <w:t>Shopping</w:t>
            </w:r>
          </w:p>
          <w:p w:rsidR="00000000" w:rsidRDefault="003E5AFF">
            <w:pPr>
              <w:pStyle w:val="NormalWeb"/>
              <w:spacing w:before="0" w:beforeAutospacing="0" w:after="15" w:afterAutospacing="0"/>
              <w:jc w:val="right"/>
            </w:pPr>
            <w:r>
              <w:rPr>
                <w:rFonts w:ascii="Arial" w:hAnsi="Arial" w:cs="Arial"/>
                <w:b/>
                <w:bCs/>
                <w:sz w:val="15"/>
                <w:szCs w:val="15"/>
              </w:rPr>
              <w:t>centers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Home</w:t>
            </w:r>
            <w:r>
              <w:rPr>
                <w:rFonts w:ascii="Arial" w:eastAsia="Times New Roman" w:hAnsi="Arial" w:cs="Arial"/>
                <w:b/>
                <w:bCs/>
                <w:sz w:val="15"/>
                <w:szCs w:val="15"/>
              </w:rPr>
              <w:br/>
              <w:t>improvement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Department</w:t>
            </w:r>
            <w:r>
              <w:rPr>
                <w:rFonts w:ascii="Arial" w:eastAsia="Times New Roman" w:hAnsi="Arial" w:cs="Arial"/>
                <w:b/>
                <w:bCs/>
                <w:sz w:val="15"/>
                <w:szCs w:val="15"/>
              </w:rPr>
              <w:br/>
              <w:t>stores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Financial</w:t>
            </w:r>
            <w:r>
              <w:rPr>
                <w:rFonts w:ascii="Arial" w:eastAsia="Times New Roman" w:hAnsi="Arial" w:cs="Arial"/>
                <w:b/>
                <w:bCs/>
                <w:sz w:val="15"/>
                <w:szCs w:val="15"/>
              </w:rPr>
              <w:br/>
              <w:t>services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Other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Consolidated</w:t>
            </w:r>
            <w:r>
              <w:rPr>
                <w:rFonts w:ascii="Arial" w:eastAsia="Times New Roman" w:hAnsi="Arial" w:cs="Arial"/>
                <w:b/>
                <w:bCs/>
                <w:sz w:val="15"/>
                <w:szCs w:val="15"/>
              </w:rPr>
              <w:b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6"/>
            <w:vAlign w:val="bottom"/>
            <w:hideMark/>
          </w:tcPr>
          <w:p w:rsidR="00000000" w:rsidRDefault="003E5AFF">
            <w:pPr>
              <w:jc w:val="right"/>
              <w:rPr>
                <w:rFonts w:eastAsia="Times New Roman" w:cs="Times New Roman"/>
              </w:rPr>
            </w:pPr>
            <w:r>
              <w:rPr>
                <w:rFonts w:ascii="Arial" w:eastAsia="Times New Roman" w:hAnsi="Arial" w:cs="Arial"/>
                <w:b/>
                <w:bCs/>
                <w:sz w:val="15"/>
                <w:szCs w:val="15"/>
              </w:rPr>
              <w:t>Year ended December 31, 2011 (in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Profit (loss)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299,605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170,391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67,291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29,698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91,418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(372,488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285,915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12,511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12,511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b/>
                <w:bCs/>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299,605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170,391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67,291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29,698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91,418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(359,977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298,426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Expense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(133,152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(133,152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Income tax charge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(119,556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(119,556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299,605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170,391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67,291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29,698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91,418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(107,270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551,133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Depreciation and amortization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(76,559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(16,501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(17,292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(120,174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376,164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172,735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83,792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46,990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94,355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(102,729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671,308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(9,876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(9,876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Increase on revaluation of investment properties(1)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72,798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72,798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(Losses) gains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(31,289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(31,289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Negative goodwill associated with Johnson_s acquisition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b/>
                <w:bCs/>
              </w:rPr>
              <w:t>Adjusted EBITDA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376,164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99,937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83,792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46,990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94,355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(75,098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626,141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As a % of revenues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a fair value adjustment of investment properties, through the application of discounted cash flows.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- 68 - </w:t>
      </w:r>
    </w:p>
    <w:p w:rsidR="00000000" w:rsidRDefault="003E5AFF">
      <w:pPr>
        <w:rPr>
          <w:rFonts w:eastAsia="Times New Roman" w:cs="Times New Roman"/>
        </w:rPr>
      </w:pPr>
      <w:r>
        <w:rPr>
          <w:rFonts w:eastAsia="Times New Roman" w:cs="Times New Roman"/>
        </w:rPr>
        <w:pict>
          <v:rect id="_x0000_i1102" style="width:441.9pt;height:3pt" o:hralign="center" o:hrstd="t" o:hrnoshade="t" o:hr="t" fillcolor="#999" stroked="f"/>
        </w:pict>
      </w:r>
    </w:p>
    <w:p w:rsidR="00000000" w:rsidRDefault="003E5AFF">
      <w:pPr>
        <w:pStyle w:val="Heading5"/>
        <w:rPr>
          <w:rFonts w:eastAsia="Times New Roman" w:cs="Times New Roman"/>
        </w:rPr>
      </w:pPr>
      <w:hyperlink r:id="rId119"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1157"/>
        <w:gridCol w:w="38"/>
        <w:gridCol w:w="72"/>
        <w:gridCol w:w="929"/>
        <w:gridCol w:w="123"/>
        <w:gridCol w:w="38"/>
        <w:gridCol w:w="56"/>
        <w:gridCol w:w="723"/>
        <w:gridCol w:w="123"/>
        <w:gridCol w:w="38"/>
        <w:gridCol w:w="72"/>
        <w:gridCol w:w="871"/>
        <w:gridCol w:w="123"/>
        <w:gridCol w:w="38"/>
        <w:gridCol w:w="64"/>
        <w:gridCol w:w="770"/>
        <w:gridCol w:w="123"/>
        <w:gridCol w:w="38"/>
        <w:gridCol w:w="56"/>
        <w:gridCol w:w="612"/>
        <w:gridCol w:w="123"/>
        <w:gridCol w:w="38"/>
        <w:gridCol w:w="56"/>
        <w:gridCol w:w="912"/>
        <w:gridCol w:w="123"/>
        <w:gridCol w:w="38"/>
        <w:gridCol w:w="63"/>
        <w:gridCol w:w="888"/>
        <w:gridCol w:w="123"/>
      </w:tblGrid>
      <w:tr w:rsidR="00000000">
        <w:trPr>
          <w:jc w:val="center"/>
        </w:trPr>
        <w:tc>
          <w:tcPr>
            <w:tcW w:w="17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sz w:val="15"/>
                <w:szCs w:val="15"/>
              </w:rPr>
              <w:t>Information by segment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Supermarkets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pStyle w:val="NormalWeb"/>
              <w:spacing w:before="0" w:beforeAutospacing="0" w:after="0" w:afterAutospacing="0"/>
              <w:jc w:val="right"/>
            </w:pPr>
            <w:r>
              <w:rPr>
                <w:rFonts w:ascii="Arial" w:hAnsi="Arial" w:cs="Arial"/>
                <w:b/>
                <w:bCs/>
                <w:sz w:val="15"/>
                <w:szCs w:val="15"/>
              </w:rPr>
              <w:t>Shopping</w:t>
            </w:r>
          </w:p>
          <w:p w:rsidR="00000000" w:rsidRDefault="003E5AFF">
            <w:pPr>
              <w:pStyle w:val="NormalWeb"/>
              <w:spacing w:before="0" w:beforeAutospacing="0" w:after="15" w:afterAutospacing="0"/>
              <w:jc w:val="right"/>
            </w:pPr>
            <w:r>
              <w:rPr>
                <w:rFonts w:ascii="Arial" w:hAnsi="Arial" w:cs="Arial"/>
                <w:b/>
                <w:bCs/>
                <w:sz w:val="15"/>
                <w:szCs w:val="15"/>
              </w:rPr>
              <w:t>centers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Home</w:t>
            </w:r>
            <w:r>
              <w:rPr>
                <w:rFonts w:ascii="Arial" w:eastAsia="Times New Roman" w:hAnsi="Arial" w:cs="Arial"/>
                <w:b/>
                <w:bCs/>
                <w:sz w:val="15"/>
                <w:szCs w:val="15"/>
              </w:rPr>
              <w:br/>
              <w:t>improvement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Department</w:t>
            </w:r>
            <w:r>
              <w:rPr>
                <w:rFonts w:ascii="Arial" w:eastAsia="Times New Roman" w:hAnsi="Arial" w:cs="Arial"/>
                <w:b/>
                <w:bCs/>
                <w:sz w:val="15"/>
                <w:szCs w:val="15"/>
              </w:rPr>
              <w:br/>
              <w:t>stores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Financial</w:t>
            </w:r>
            <w:r>
              <w:rPr>
                <w:rFonts w:ascii="Arial" w:eastAsia="Times New Roman" w:hAnsi="Arial" w:cs="Arial"/>
                <w:b/>
                <w:bCs/>
                <w:sz w:val="15"/>
                <w:szCs w:val="15"/>
              </w:rPr>
              <w:br/>
              <w:t>services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Other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Consolidated</w:t>
            </w:r>
            <w:r>
              <w:rPr>
                <w:rFonts w:ascii="Arial" w:eastAsia="Times New Roman" w:hAnsi="Arial" w:cs="Arial"/>
                <w:b/>
                <w:bCs/>
                <w:sz w:val="15"/>
                <w:szCs w:val="15"/>
              </w:rPr>
              <w:b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6"/>
            <w:vAlign w:val="bottom"/>
            <w:hideMark/>
          </w:tcPr>
          <w:p w:rsidR="00000000" w:rsidRDefault="003E5AFF">
            <w:pPr>
              <w:jc w:val="right"/>
              <w:rPr>
                <w:rFonts w:eastAsia="Times New Roman" w:cs="Times New Roman"/>
              </w:rPr>
            </w:pPr>
            <w:r>
              <w:rPr>
                <w:rFonts w:ascii="Arial" w:eastAsia="Times New Roman" w:hAnsi="Arial" w:cs="Arial"/>
                <w:b/>
                <w:bCs/>
                <w:sz w:val="15"/>
                <w:szCs w:val="15"/>
              </w:rPr>
              <w:t>Year ended December 31, 2010 (in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Profit (loss)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249,364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122,349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53,352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24,584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74,039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(227,427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296,261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b/>
                <w:bCs/>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249,364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122,349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53,352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24,584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74,039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(217,207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306,481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Expense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(69,807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(69,807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Income tax charge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(76,830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(76,830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249,364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122,349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53,352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24,584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74,039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(70,570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453,119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Depreciation and amortization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(58,347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(16,435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(102,310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307,711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126,649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69,787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40,795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(66,784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555,429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Increase on revaluation of investment properties(1)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37,573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37,573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(Losses) gains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Adjusted 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307,711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89,076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69,787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40,795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(49,075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535,565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As a % of revenues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(1,342.0%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a fair value adjustment of investment properties, through the application of discounted cash flows. </w:t>
            </w:r>
          </w:p>
        </w:tc>
      </w:tr>
    </w:tbl>
    <w:p w:rsidR="00000000" w:rsidRDefault="003E5AFF">
      <w:pPr>
        <w:pStyle w:val="NormalWeb"/>
        <w:spacing w:before="0" w:beforeAutospacing="0" w:after="0" w:afterAutospacing="0"/>
        <w:rPr>
          <w:sz w:val="24"/>
          <w:szCs w:val="24"/>
        </w:rPr>
      </w:pPr>
      <w:r>
        <w:rPr>
          <w:sz w:val="24"/>
          <w:szCs w:val="24"/>
        </w:rPr>
        <w:t> </w:t>
      </w:r>
    </w:p>
    <w:tbl>
      <w:tblPr>
        <w:tblW w:w="5000" w:type="pct"/>
        <w:jc w:val="center"/>
        <w:tblCellMar>
          <w:left w:w="0" w:type="dxa"/>
          <w:right w:w="0" w:type="dxa"/>
        </w:tblCellMar>
        <w:tblLook w:val="04A0" w:firstRow="1" w:lastRow="0" w:firstColumn="1" w:lastColumn="0" w:noHBand="0" w:noVBand="1"/>
      </w:tblPr>
      <w:tblGrid>
        <w:gridCol w:w="1157"/>
        <w:gridCol w:w="42"/>
        <w:gridCol w:w="72"/>
        <w:gridCol w:w="929"/>
        <w:gridCol w:w="123"/>
        <w:gridCol w:w="42"/>
        <w:gridCol w:w="58"/>
        <w:gridCol w:w="634"/>
        <w:gridCol w:w="123"/>
        <w:gridCol w:w="42"/>
        <w:gridCol w:w="72"/>
        <w:gridCol w:w="871"/>
        <w:gridCol w:w="123"/>
        <w:gridCol w:w="42"/>
        <w:gridCol w:w="64"/>
        <w:gridCol w:w="770"/>
        <w:gridCol w:w="123"/>
        <w:gridCol w:w="43"/>
        <w:gridCol w:w="56"/>
        <w:gridCol w:w="612"/>
        <w:gridCol w:w="123"/>
        <w:gridCol w:w="43"/>
        <w:gridCol w:w="56"/>
        <w:gridCol w:w="846"/>
        <w:gridCol w:w="123"/>
        <w:gridCol w:w="43"/>
        <w:gridCol w:w="63"/>
        <w:gridCol w:w="888"/>
        <w:gridCol w:w="123"/>
      </w:tblGrid>
      <w:tr w:rsidR="00000000">
        <w:trPr>
          <w:jc w:val="center"/>
        </w:trPr>
        <w:tc>
          <w:tcPr>
            <w:tcW w:w="18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sz w:val="15"/>
                <w:szCs w:val="15"/>
              </w:rPr>
              <w:t>Information by segment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Supermarkets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pStyle w:val="NormalWeb"/>
              <w:spacing w:before="0" w:beforeAutospacing="0" w:after="0" w:afterAutospacing="0"/>
              <w:jc w:val="right"/>
            </w:pPr>
            <w:r>
              <w:rPr>
                <w:rFonts w:ascii="Arial" w:hAnsi="Arial" w:cs="Arial"/>
                <w:b/>
                <w:bCs/>
                <w:sz w:val="15"/>
                <w:szCs w:val="15"/>
              </w:rPr>
              <w:t>Shopping</w:t>
            </w:r>
          </w:p>
          <w:p w:rsidR="00000000" w:rsidRDefault="003E5AFF">
            <w:pPr>
              <w:pStyle w:val="NormalWeb"/>
              <w:spacing w:before="0" w:beforeAutospacing="0" w:after="15" w:afterAutospacing="0"/>
              <w:jc w:val="right"/>
            </w:pPr>
            <w:r>
              <w:rPr>
                <w:rFonts w:ascii="Arial" w:hAnsi="Arial" w:cs="Arial"/>
                <w:b/>
                <w:bCs/>
                <w:sz w:val="15"/>
                <w:szCs w:val="15"/>
              </w:rPr>
              <w:t>centers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Home</w:t>
            </w:r>
            <w:r>
              <w:rPr>
                <w:rFonts w:ascii="Arial" w:eastAsia="Times New Roman" w:hAnsi="Arial" w:cs="Arial"/>
                <w:b/>
                <w:bCs/>
                <w:sz w:val="15"/>
                <w:szCs w:val="15"/>
              </w:rPr>
              <w:br/>
              <w:t>improvement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Department</w:t>
            </w:r>
            <w:r>
              <w:rPr>
                <w:rFonts w:ascii="Arial" w:eastAsia="Times New Roman" w:hAnsi="Arial" w:cs="Arial"/>
                <w:b/>
                <w:bCs/>
                <w:sz w:val="15"/>
                <w:szCs w:val="15"/>
              </w:rPr>
              <w:br/>
              <w:t>stores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Financial</w:t>
            </w:r>
            <w:r>
              <w:rPr>
                <w:rFonts w:ascii="Arial" w:eastAsia="Times New Roman" w:hAnsi="Arial" w:cs="Arial"/>
                <w:b/>
                <w:bCs/>
                <w:sz w:val="15"/>
                <w:szCs w:val="15"/>
              </w:rPr>
              <w:br/>
              <w:t>services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Other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Consolidated</w:t>
            </w:r>
            <w:r>
              <w:rPr>
                <w:rFonts w:ascii="Arial" w:eastAsia="Times New Roman" w:hAnsi="Arial" w:cs="Arial"/>
                <w:b/>
                <w:bCs/>
                <w:sz w:val="15"/>
                <w:szCs w:val="15"/>
              </w:rPr>
              <w:b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6"/>
            <w:vAlign w:val="bottom"/>
            <w:hideMark/>
          </w:tcPr>
          <w:p w:rsidR="00000000" w:rsidRDefault="003E5AFF">
            <w:pPr>
              <w:jc w:val="right"/>
              <w:rPr>
                <w:rFonts w:eastAsia="Times New Roman" w:cs="Times New Roman"/>
              </w:rPr>
            </w:pPr>
            <w:r>
              <w:rPr>
                <w:rFonts w:ascii="Arial" w:eastAsia="Times New Roman" w:hAnsi="Arial" w:cs="Arial"/>
                <w:b/>
                <w:bCs/>
                <w:sz w:val="15"/>
                <w:szCs w:val="15"/>
              </w:rPr>
              <w:t>Year ended December 31, 2009 (in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Profit (loss)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198,863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73,395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33,008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67,093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(122,162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243,597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b/>
                <w:bCs/>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198,863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73,395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33,008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67,093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(118,213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247,546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Expense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(89,592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(89,592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Income tax charge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(53,900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(53,900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198,863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73,395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33,008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67,093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25,279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391,038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Depreciation and amortization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(53,981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(15,937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(17,991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(101,533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252,843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82,420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48,945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11,390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68,143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492,571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Increase on revaluation of investment properties(1)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(Losses) gain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Adjusted EBITDA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252,843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77,360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48,945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11,390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68,143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20,295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478,976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1071E8">
        <w:trPr>
          <w:jc w:val="center"/>
        </w:trPr>
        <w:tc>
          <w:tcPr>
            <w:tcW w:w="0" w:type="auto"/>
            <w:shd w:val="clear" w:color="auto" w:fill="CCEEFF"/>
            <w:hideMark/>
          </w:tcPr>
          <w:p w:rsidR="00000000" w:rsidRDefault="003E5AFF">
            <w:pPr>
              <w:pStyle w:val="NormalWeb"/>
              <w:ind w:left="240" w:hanging="240"/>
            </w:pPr>
            <w:r>
              <w:rPr>
                <w:rFonts w:ascii="Arial" w:hAnsi="Arial" w:cs="Arial"/>
              </w:rPr>
              <w:t>As a % of revenues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1,449.0%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a fair value adjustment of investment properties, through the application of discounted cash flows.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- 69 - </w:t>
      </w:r>
    </w:p>
    <w:p w:rsidR="00000000" w:rsidRDefault="003E5AFF">
      <w:pPr>
        <w:rPr>
          <w:rFonts w:eastAsia="Times New Roman" w:cs="Times New Roman"/>
        </w:rPr>
      </w:pPr>
      <w:r>
        <w:rPr>
          <w:rFonts w:eastAsia="Times New Roman" w:cs="Times New Roman"/>
        </w:rPr>
        <w:pict>
          <v:rect id="_x0000_i1103" style="width:441.9pt;height:3pt" o:hralign="center" o:hrstd="t" o:hrnoshade="t" o:hr="t" fillcolor="#999" stroked="f"/>
        </w:pict>
      </w:r>
    </w:p>
    <w:p w:rsidR="00000000" w:rsidRDefault="003E5AFF">
      <w:pPr>
        <w:pStyle w:val="Heading5"/>
        <w:rPr>
          <w:rFonts w:eastAsia="Times New Roman" w:cs="Times New Roman"/>
        </w:rPr>
      </w:pPr>
      <w:hyperlink r:id="rId12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7" w:name="rom343004_6"/>
      <w:bookmarkEnd w:id="7"/>
      <w:r>
        <w:rPr>
          <w:rFonts w:ascii="Arial" w:hAnsi="Arial" w:cs="Arial"/>
          <w:b/>
          <w:bCs/>
          <w:sz w:val="36"/>
          <w:szCs w:val="36"/>
        </w:rPr>
        <w:t xml:space="preserve">Forward-looking statements </w:t>
      </w:r>
    </w:p>
    <w:p w:rsidR="00000000" w:rsidRDefault="003E5AFF">
      <w:pPr>
        <w:pStyle w:val="NormalWeb"/>
        <w:spacing w:before="120" w:beforeAutospacing="0" w:after="0" w:afterAutospacing="0"/>
      </w:pPr>
      <w:r>
        <w:rPr>
          <w:rFonts w:ascii="Arial" w:hAnsi="Arial" w:cs="Arial"/>
        </w:rPr>
        <w:t>This prospectus includes forward-looking statements, which include statements with respect to our plans, strategies, beliefs and other statements that are not historical facts. These statements are based on our management_s assumptions and beliefs in light</w:t>
      </w:r>
      <w:r>
        <w:rPr>
          <w:rFonts w:ascii="Arial" w:hAnsi="Arial" w:cs="Arial"/>
        </w:rPr>
        <w:t xml:space="preserve"> of the information currently available to them. These assumptions and beliefs include information concerning us, the industries and countries in which we operate. </w:t>
      </w:r>
    </w:p>
    <w:p w:rsidR="00000000" w:rsidRDefault="003E5AFF">
      <w:pPr>
        <w:pStyle w:val="NormalWeb"/>
        <w:spacing w:before="120" w:beforeAutospacing="0" w:after="0" w:afterAutospacing="0"/>
      </w:pPr>
      <w:r>
        <w:rPr>
          <w:rFonts w:ascii="Arial" w:hAnsi="Arial" w:cs="Arial"/>
        </w:rPr>
        <w:t xml:space="preserve">These assumptions also involve risks and uncertainties which may cause the actual results, </w:t>
      </w:r>
      <w:r>
        <w:rPr>
          <w:rFonts w:ascii="Arial" w:hAnsi="Arial" w:cs="Arial"/>
        </w:rPr>
        <w:t xml:space="preserve">performance or achievements to be materially different from any future results, performance or achievements expressed or implied by such forward-looking statements. Potential risks and uncertainties include, without limitation: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general economic, business or political or other conditions in Chile, Argentina, Brazil, Peru, Colombia or elsewhere in Latin America or global markets;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changes in capital markets in general that may affect policies or attitudes to</w:t>
            </w:r>
            <w:r>
              <w:rPr>
                <w:rFonts w:ascii="Arial" w:hAnsi="Arial" w:cs="Arial"/>
              </w:rPr>
              <w:t xml:space="preserve">wards investing in Chile, Argentina, Brazil, Peru, Colombia or securities issued by companies in such countries;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monetary and interest rate policies of the Central Banks of Chile, Argentina, Brazil, Peru and Colombia;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high levels of inflation or deflation;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unanticipated increases in financing and other costs or our inability to obtain additional debt or equity financing on attractive terms;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movements in interest and/or foreign exchange rates, and movements in equity prices or other rates or prices;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or failure to comply with, applicable regulations, or changes in taxes;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loss of market share or changes in competition and pricing environments in the industries in which we operate;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difficulties in successfully integrating recent and future acquisitions into our operations;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our inability to hedge certain risks economically;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changes in consumer spending and saving habits;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implementation of new technologies;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limitations on our ability to open new stores and operate them profitably;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difficulties in completing proposed store openings, expansions or remodelings;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difficulties in acquiring and developing land in Chile, Argentina, Brazil, Peru or Colombia, and restrictions on opening new large stores in any such countries;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factors discussed under _Risk Factors_ in this prospectus. </w:t>
            </w:r>
          </w:p>
        </w:tc>
      </w:tr>
    </w:tbl>
    <w:p w:rsidR="00000000" w:rsidRDefault="003E5AFF">
      <w:pPr>
        <w:pStyle w:val="NormalWeb"/>
        <w:spacing w:before="120" w:beforeAutospacing="0" w:after="0" w:afterAutospacing="0"/>
      </w:pPr>
      <w:r>
        <w:rPr>
          <w:rFonts w:ascii="Arial" w:hAnsi="Arial" w:cs="Arial"/>
        </w:rPr>
        <w:t>Other matters</w:t>
      </w:r>
      <w:r>
        <w:rPr>
          <w:rFonts w:ascii="Arial" w:hAnsi="Arial" w:cs="Arial"/>
        </w:rPr>
        <w:t xml:space="preserve"> set forth in this prospectus may also cause actual results in the future to differ materially from those described in the forward-looking statements, including those set forth in _Risk Factors_ in this prospectus. Accordingly, investors are cautioned not </w:t>
      </w:r>
      <w:r>
        <w:rPr>
          <w:rFonts w:ascii="Arial" w:hAnsi="Arial" w:cs="Arial"/>
        </w:rPr>
        <w:t>to place undue reliance on the forward-looking statements in this prospectus. We undertake no obligation to update or revise any forward-looking statements, whether as a result of new information, future events or otherwise. In light of these risks, uncert</w:t>
      </w:r>
      <w:r>
        <w:rPr>
          <w:rFonts w:ascii="Arial" w:hAnsi="Arial" w:cs="Arial"/>
        </w:rPr>
        <w:t xml:space="preserve">ainties and assumptions, the forward-looking events discussed in this prospectus might not occur.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- 70 - </w:t>
      </w:r>
    </w:p>
    <w:p w:rsidR="00000000" w:rsidRDefault="003E5AFF">
      <w:pPr>
        <w:rPr>
          <w:rFonts w:eastAsia="Times New Roman" w:cs="Times New Roman"/>
        </w:rPr>
      </w:pPr>
      <w:r>
        <w:rPr>
          <w:rFonts w:eastAsia="Times New Roman" w:cs="Times New Roman"/>
        </w:rPr>
        <w:pict>
          <v:rect id="_x0000_i1104" style="width:441.9pt;height:3pt" o:hralign="center" o:hrstd="t" o:hrnoshade="t" o:hr="t" fillcolor="#999" stroked="f"/>
        </w:pict>
      </w:r>
    </w:p>
    <w:p w:rsidR="00000000" w:rsidRDefault="003E5AFF">
      <w:pPr>
        <w:pStyle w:val="Heading5"/>
        <w:rPr>
          <w:rFonts w:eastAsia="Times New Roman" w:cs="Times New Roman"/>
        </w:rPr>
      </w:pPr>
      <w:hyperlink r:id="rId12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8" w:name="rom343004_7"/>
      <w:bookmarkEnd w:id="8"/>
      <w:r>
        <w:rPr>
          <w:rFonts w:ascii="Arial" w:hAnsi="Arial" w:cs="Arial"/>
          <w:b/>
          <w:bCs/>
          <w:sz w:val="36"/>
          <w:szCs w:val="36"/>
        </w:rPr>
        <w:t xml:space="preserve">Use of proceeds </w:t>
      </w:r>
    </w:p>
    <w:p w:rsidR="00000000" w:rsidRDefault="003E5AFF">
      <w:pPr>
        <w:pStyle w:val="NormalWeb"/>
        <w:spacing w:before="120" w:beforeAutospacing="0" w:after="0" w:afterAutospacing="0"/>
      </w:pPr>
      <w:r>
        <w:rPr>
          <w:rFonts w:ascii="Arial" w:hAnsi="Arial" w:cs="Arial"/>
        </w:rPr>
        <w:t>We estimate that the net proceeds to us from the global offering, after deducting the underwriters_ discounts and commissions and estimated expenses incurred in connection with a global offering</w:t>
      </w:r>
      <w:r>
        <w:rPr>
          <w:rFonts w:ascii="Arial" w:hAnsi="Arial" w:cs="Arial"/>
        </w:rPr>
        <w:t xml:space="preserve"> of 91,304,348 shares of common stock calculated using the last reported sale price of the shares on the Santiago Stock Exchange on June 7, 2012 of Ch$2,774.80 and an exchange rate of Ch$501.74=US$1.00 on such date, and assuming that the over-allotment opt</w:t>
      </w:r>
      <w:r>
        <w:rPr>
          <w:rFonts w:ascii="Arial" w:hAnsi="Arial" w:cs="Arial"/>
        </w:rPr>
        <w:t>ion is not exercised, will be approximately Ch$248,258 million (US$495 million). An increase (decrease) of $1.00 in the price per share of common stock would increase (decrease) the net proceeds in connection with the global offering by Ch$46,732 million (</w:t>
      </w:r>
      <w:r>
        <w:rPr>
          <w:rFonts w:ascii="Arial" w:hAnsi="Arial" w:cs="Arial"/>
        </w:rPr>
        <w:t xml:space="preserve">US$93.14 million) (assuming the over-allotment option is not exercised and calculated using the exchange rate of Ch$501.74=US$1.00 on June 7, 2012). </w:t>
      </w:r>
    </w:p>
    <w:p w:rsidR="00000000" w:rsidRDefault="003E5AFF">
      <w:pPr>
        <w:pStyle w:val="NormalWeb"/>
        <w:spacing w:before="120" w:beforeAutospacing="0" w:after="0" w:afterAutospacing="0"/>
      </w:pPr>
      <w:r>
        <w:rPr>
          <w:rFonts w:ascii="Arial" w:hAnsi="Arial" w:cs="Arial"/>
        </w:rPr>
        <w:t>We estimate that the net proceeds from the preemptive rights offerings would be approximately Ch$382,922 m</w:t>
      </w:r>
      <w:r>
        <w:rPr>
          <w:rFonts w:ascii="Arial" w:hAnsi="Arial" w:cs="Arial"/>
        </w:rPr>
        <w:t>illion (US$763.2 million) (assuming the waiver by our Controlling Shareholders of their rights with respect to 105,000,000 shares of common stock subject to the preemptive rights offering and the exercise in full of the remaining preemptive subscription ri</w:t>
      </w:r>
      <w:r>
        <w:rPr>
          <w:rFonts w:ascii="Arial" w:hAnsi="Arial" w:cs="Arial"/>
        </w:rPr>
        <w:t>ghts calculated using the last reported sale price of the shares on the Santiago Stock Exchange on June 7, 2012 of Ch$2,774.80). We cannot assure you that the preemptive rights offering will be fully or even partially subscribed by other shareholders entit</w:t>
      </w:r>
      <w:r>
        <w:rPr>
          <w:rFonts w:ascii="Arial" w:hAnsi="Arial" w:cs="Arial"/>
        </w:rPr>
        <w:t xml:space="preserve">led to participate in the preemptive rights offering. Consequently, our net proceeds may be limited to the net proceeds of the global offering. </w:t>
      </w:r>
    </w:p>
    <w:p w:rsidR="00000000" w:rsidRDefault="003E5AFF">
      <w:pPr>
        <w:pStyle w:val="NormalWeb"/>
        <w:spacing w:before="120" w:beforeAutospacing="0" w:after="0" w:afterAutospacing="0"/>
      </w:pPr>
      <w:r>
        <w:rPr>
          <w:rFonts w:ascii="Arial" w:hAnsi="Arial" w:cs="Arial"/>
        </w:rPr>
        <w:t>We intend to use (i) approximately U.S.$245 million of the net proceeds from the global offering and the preemp</w:t>
      </w:r>
      <w:r>
        <w:rPr>
          <w:rFonts w:ascii="Arial" w:hAnsi="Arial" w:cs="Arial"/>
        </w:rPr>
        <w:t xml:space="preserve">tive rights offering to repay all of our outstanding indebtedness under our Santander Short-Term Loan (as defined below), (ii) approximately U.S.$480 million to acquire the remaining 38.636% of Jumbo Retail Argentina shares currently held by UBS AG London </w:t>
      </w:r>
      <w:r>
        <w:rPr>
          <w:rFonts w:ascii="Arial" w:hAnsi="Arial" w:cs="Arial"/>
        </w:rPr>
        <w:t>Branch (_UBS London_) (see _Business_Material Agreements_), (iii) to repay approximately U.S.$200 million in short-term indebtedness owed to an affiliate of Banco Bilbao Vizcaya Argentaria, S.A. under our BBVA Short-Term Loan (as defined below), (iv) to re</w:t>
      </w:r>
      <w:r>
        <w:rPr>
          <w:rFonts w:ascii="Arial" w:hAnsi="Arial" w:cs="Arial"/>
        </w:rPr>
        <w:t xml:space="preserve">pay amounts drawn under our committed credit facility in the aggregate amount of U.S.$750 million, with an affiliate of, J.P. Morgan and an affiliate of Morgan Stanley, which amounts drawn totaled U.S.$250 million as of May 7, 2012, and (v) the remainder, </w:t>
      </w:r>
      <w:r>
        <w:rPr>
          <w:rFonts w:ascii="Arial" w:hAnsi="Arial" w:cs="Arial"/>
        </w:rPr>
        <w:t xml:space="preserve">if any, for capital expenditures, working capital and general corporate purposes. </w:t>
      </w:r>
    </w:p>
    <w:p w:rsidR="00000000" w:rsidRDefault="003E5AFF">
      <w:pPr>
        <w:pStyle w:val="NormalWeb"/>
        <w:spacing w:before="120" w:beforeAutospacing="0" w:after="0" w:afterAutospacing="0"/>
      </w:pPr>
      <w:r>
        <w:rPr>
          <w:rFonts w:ascii="Arial" w:hAnsi="Arial" w:cs="Arial"/>
        </w:rPr>
        <w:t>On January 2, 2012, we acquired 100% of the capital stock of Prezunic. In order to finance our acquisition of Prezunic, on January 2, 2012 we entered into a Ch$127.73 billio</w:t>
      </w:r>
      <w:r>
        <w:rPr>
          <w:rFonts w:ascii="Arial" w:hAnsi="Arial" w:cs="Arial"/>
        </w:rPr>
        <w:t xml:space="preserve">n short-term facility with Banco Santander Chile, as lender (_Santander Short-Term Loan_). The Santander Short-Term Loan matures on December 28, 2012, and has an annual interest rate equal to the </w:t>
      </w:r>
      <w:r>
        <w:rPr>
          <w:rFonts w:ascii="Arial" w:hAnsi="Arial" w:cs="Arial"/>
          <w:i/>
          <w:iCs/>
        </w:rPr>
        <w:t>Tasa Bancaria</w:t>
      </w:r>
      <w:r>
        <w:rPr>
          <w:rFonts w:ascii="Arial" w:hAnsi="Arial" w:cs="Arial"/>
        </w:rPr>
        <w:t xml:space="preserve"> (the Banking Interest Rate, or _TAB_), establi</w:t>
      </w:r>
      <w:r>
        <w:rPr>
          <w:rFonts w:ascii="Arial" w:hAnsi="Arial" w:cs="Arial"/>
        </w:rPr>
        <w:t xml:space="preserve">shed by the </w:t>
      </w:r>
      <w:r>
        <w:rPr>
          <w:rFonts w:ascii="Arial" w:hAnsi="Arial" w:cs="Arial"/>
          <w:i/>
          <w:iCs/>
        </w:rPr>
        <w:t>Asociaci_n de Bancos e Instituciones Financieras</w:t>
      </w:r>
      <w:r>
        <w:rPr>
          <w:rFonts w:ascii="Arial" w:hAnsi="Arial" w:cs="Arial"/>
        </w:rPr>
        <w:t xml:space="preserve"> (the Association of Banks and Financial Institutions, or _ABIF_), plus 0.4%. See _Management_s </w:t>
      </w:r>
      <w:r>
        <w:rPr>
          <w:rFonts w:ascii="Arial" w:hAnsi="Arial" w:cs="Arial"/>
        </w:rPr>
        <w:t xml:space="preserve">Discussion and Analysis of Financial Condition and Results of Operations_Liquidity and Capital Resources_Indebtedness_Recent Acquisitions._ </w:t>
      </w:r>
    </w:p>
    <w:p w:rsidR="00000000" w:rsidRDefault="003E5AFF">
      <w:pPr>
        <w:pStyle w:val="NormalWeb"/>
        <w:spacing w:before="120" w:beforeAutospacing="0" w:after="0" w:afterAutospacing="0"/>
      </w:pPr>
      <w:r>
        <w:rPr>
          <w:rFonts w:ascii="Arial" w:hAnsi="Arial" w:cs="Arial"/>
        </w:rPr>
        <w:t>On March 13, 2012, we entered into a short-term credit facility for Ch$100,000 million (approximately U.S.$200 mill</w:t>
      </w:r>
      <w:r>
        <w:rPr>
          <w:rFonts w:ascii="Arial" w:hAnsi="Arial" w:cs="Arial"/>
        </w:rPr>
        <w:t>ion) with an affiliate of Banco Bilbao Vizcaya Argentaria, S.A., as lender, to finance our investing activities, including capital expenditures of U.S.$75 million and working capital needs of U.S.$25 million, and also to refinance certain short-term liabil</w:t>
      </w:r>
      <w:r>
        <w:rPr>
          <w:rFonts w:ascii="Arial" w:hAnsi="Arial" w:cs="Arial"/>
        </w:rPr>
        <w:t xml:space="preserve">ities amounting to U.S.$100 million, including repayment of overdraft lines (_BBVA Short-Term Loan_). The BBVA Short-Term Loan bears interest at an annual rate based on the _ndice de C_mara Promedio, an indexed interest rate established by ABIF, and has a </w:t>
      </w:r>
      <w:r>
        <w:rPr>
          <w:rFonts w:ascii="Arial" w:hAnsi="Arial" w:cs="Arial"/>
        </w:rPr>
        <w:t xml:space="preserve">maturity date of March 13, 2013.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- 71 - </w:t>
      </w:r>
    </w:p>
    <w:p w:rsidR="00000000" w:rsidRDefault="003E5AFF">
      <w:pPr>
        <w:rPr>
          <w:rFonts w:eastAsia="Times New Roman" w:cs="Times New Roman"/>
        </w:rPr>
      </w:pPr>
      <w:r>
        <w:rPr>
          <w:rFonts w:eastAsia="Times New Roman" w:cs="Times New Roman"/>
        </w:rPr>
        <w:pict>
          <v:rect id="_x0000_i1105" style="width:441.9pt;height:3pt" o:hralign="center" o:hrstd="t" o:hrnoshade="t" o:hr="t" fillcolor="#999" stroked="f"/>
        </w:pict>
      </w:r>
    </w:p>
    <w:p w:rsidR="00000000" w:rsidRDefault="003E5AFF">
      <w:pPr>
        <w:pStyle w:val="Heading5"/>
        <w:rPr>
          <w:rFonts w:eastAsia="Times New Roman" w:cs="Times New Roman"/>
        </w:rPr>
      </w:pPr>
      <w:hyperlink r:id="rId12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On April </w:t>
      </w:r>
      <w:r>
        <w:rPr>
          <w:rFonts w:ascii="Arial" w:hAnsi="Arial" w:cs="Arial"/>
        </w:rPr>
        <w:t>27, 2012, we entered into a U.S.$750 million committed credit facility with J.P. Morgan Chase National Association, an affiliate of J.P. Morgan, Morgan Stanley Bank, N.A., an affiliate of Morgan Stanley, The Bank of Tokyo_Mitsubishi UFJ, Ltd. and Mizuho Co</w:t>
      </w:r>
      <w:r>
        <w:rPr>
          <w:rFonts w:ascii="Arial" w:hAnsi="Arial" w:cs="Arial"/>
        </w:rPr>
        <w:t>rporate Bank Ltd., as lenders, (the _J.P. Morgan Credit Facility_) in order to finance our short-term funding requirements, including capital expenditures, interest expense and tax obligations. The J.P. Morgan Credit Facility bears an interest rate of LIBO</w:t>
      </w:r>
      <w:r>
        <w:rPr>
          <w:rFonts w:ascii="Arial" w:hAnsi="Arial" w:cs="Arial"/>
        </w:rPr>
        <w:t xml:space="preserve">R, as adjusted for statutory reserve requirements for eurocurrency liabilities, plus a margin of 1.25% for the first six months, 1.50% for the following three months, and 1.75% thereafter. The J.P. Morgan Credit Facility matures on March 13, 2013. </w:t>
      </w:r>
    </w:p>
    <w:p w:rsidR="00000000" w:rsidRDefault="003E5AFF">
      <w:pPr>
        <w:pStyle w:val="NormalWeb"/>
        <w:spacing w:before="120" w:beforeAutospacing="0" w:after="0" w:afterAutospacing="0"/>
      </w:pPr>
      <w:r>
        <w:rPr>
          <w:rFonts w:ascii="Arial" w:hAnsi="Arial" w:cs="Arial"/>
        </w:rPr>
        <w:t xml:space="preserve">In the </w:t>
      </w:r>
      <w:r>
        <w:rPr>
          <w:rFonts w:ascii="Arial" w:hAnsi="Arial" w:cs="Arial"/>
        </w:rPr>
        <w:t>event that substantially less than the maximum amount of proceeds from the preemptive rights offering are obtained, the Company will apply the funds received from the global offering to pay amounts outstanding under the Santander Short-Term Loan, first, wi</w:t>
      </w:r>
      <w:r>
        <w:rPr>
          <w:rFonts w:ascii="Arial" w:hAnsi="Arial" w:cs="Arial"/>
        </w:rPr>
        <w:t>th any remaining proceeds to be applied pro rata to repay amounts outstanding under the J.P. Morgan Credit Facility and the BBVA Short-Term Loan. Any proceeds then remaining will be applied to acquire the Jumbo Retail Argentina shares currently held by UBS</w:t>
      </w:r>
      <w:r>
        <w:rPr>
          <w:rFonts w:ascii="Arial" w:hAnsi="Arial" w:cs="Arial"/>
        </w:rPr>
        <w:t xml:space="preserve"> London, with the remainder, if any, to be used for general corporate purposes. The Company plans to fund any shortfall in the amounts of proceeds expected from the preemptive rights offering with additional indebtedness. </w:t>
      </w:r>
    </w:p>
    <w:p w:rsidR="00000000" w:rsidRDefault="003E5AFF">
      <w:pPr>
        <w:pStyle w:val="NormalWeb"/>
        <w:spacing w:before="120" w:beforeAutospacing="0" w:after="0" w:afterAutospacing="0"/>
      </w:pPr>
      <w:r>
        <w:rPr>
          <w:rFonts w:ascii="Arial" w:hAnsi="Arial" w:cs="Arial"/>
        </w:rPr>
        <w:t xml:space="preserve">For a description of our capital </w:t>
      </w:r>
      <w:r>
        <w:rPr>
          <w:rFonts w:ascii="Arial" w:hAnsi="Arial" w:cs="Arial"/>
        </w:rPr>
        <w:t xml:space="preserve">expenditure program please see _Management_s Discussion and Analysis of Financial Condition and Results of Operation_Liquidity and Capital Resources_Capital Expenditures._ It is likely that our capital expenditures will vary significantly from our current </w:t>
      </w:r>
      <w:r>
        <w:rPr>
          <w:rFonts w:ascii="Arial" w:hAnsi="Arial" w:cs="Arial"/>
        </w:rPr>
        <w:t xml:space="preserve">projections based on timing of investments and changes in market opportunities.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- 72 - </w:t>
      </w:r>
    </w:p>
    <w:p w:rsidR="00000000" w:rsidRDefault="003E5AFF">
      <w:pPr>
        <w:rPr>
          <w:rFonts w:eastAsia="Times New Roman" w:cs="Times New Roman"/>
        </w:rPr>
      </w:pPr>
      <w:r>
        <w:rPr>
          <w:rFonts w:eastAsia="Times New Roman" w:cs="Times New Roman"/>
        </w:rPr>
        <w:pict>
          <v:rect id="_x0000_i1106" style="width:441.9pt;height:3pt" o:hralign="center" o:hrstd="t" o:hrnoshade="t" o:hr="t" fillcolor="#999" stroked="f"/>
        </w:pict>
      </w:r>
    </w:p>
    <w:p w:rsidR="00000000" w:rsidRDefault="003E5AFF">
      <w:pPr>
        <w:pStyle w:val="Heading5"/>
        <w:rPr>
          <w:rFonts w:eastAsia="Times New Roman" w:cs="Times New Roman"/>
        </w:rPr>
      </w:pPr>
      <w:hyperlink r:id="rId12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9" w:name="rom343004_8"/>
      <w:bookmarkEnd w:id="9"/>
      <w:r>
        <w:rPr>
          <w:rFonts w:ascii="Arial" w:hAnsi="Arial" w:cs="Arial"/>
          <w:b/>
          <w:bCs/>
          <w:sz w:val="36"/>
          <w:szCs w:val="36"/>
        </w:rPr>
        <w:t xml:space="preserve">Market information </w:t>
      </w:r>
    </w:p>
    <w:p w:rsidR="00000000" w:rsidRDefault="003E5AFF">
      <w:pPr>
        <w:pStyle w:val="NormalWeb"/>
        <w:spacing w:before="120" w:beforeAutospacing="0" w:after="0" w:afterAutospacing="0"/>
      </w:pPr>
      <w:r>
        <w:rPr>
          <w:rFonts w:ascii="Arial" w:hAnsi="Arial" w:cs="Arial"/>
          <w:b/>
          <w:bCs/>
          <w:sz w:val="24"/>
          <w:szCs w:val="24"/>
        </w:rPr>
        <w:t xml:space="preserve">The ADSs </w:t>
      </w:r>
    </w:p>
    <w:p w:rsidR="00000000" w:rsidRDefault="003E5AFF">
      <w:pPr>
        <w:pStyle w:val="NormalWeb"/>
        <w:spacing w:before="120" w:beforeAutospacing="0" w:after="0" w:afterAutospacing="0"/>
      </w:pPr>
      <w:r>
        <w:rPr>
          <w:rFonts w:ascii="Arial" w:hAnsi="Arial" w:cs="Arial"/>
        </w:rPr>
        <w:t xml:space="preserve">Prior to the international offering, there has been </w:t>
      </w:r>
      <w:r>
        <w:rPr>
          <w:rFonts w:ascii="Arial" w:hAnsi="Arial" w:cs="Arial"/>
        </w:rPr>
        <w:t>no public market for the ADSs. We have applied for listing of the ADSs on the New York Stock Exchange under the symbol _CNCO._ We cannot assure you that an active trading market will develop for the ADSs or that following the international offering the ADS</w:t>
      </w:r>
      <w:r>
        <w:rPr>
          <w:rFonts w:ascii="Arial" w:hAnsi="Arial" w:cs="Arial"/>
        </w:rPr>
        <w:t xml:space="preserve">s will trade in the public market at or above the initial public offering price. </w:t>
      </w:r>
    </w:p>
    <w:p w:rsidR="00000000" w:rsidRDefault="003E5AFF">
      <w:pPr>
        <w:pStyle w:val="NormalWeb"/>
        <w:spacing w:before="240" w:beforeAutospacing="0" w:after="0" w:afterAutospacing="0"/>
      </w:pPr>
      <w:r>
        <w:rPr>
          <w:rFonts w:ascii="Arial" w:hAnsi="Arial" w:cs="Arial"/>
          <w:b/>
          <w:bCs/>
          <w:sz w:val="24"/>
          <w:szCs w:val="24"/>
        </w:rPr>
        <w:t xml:space="preserve">Our common shares </w:t>
      </w:r>
    </w:p>
    <w:p w:rsidR="00000000" w:rsidRDefault="003E5AFF">
      <w:pPr>
        <w:pStyle w:val="NormalWeb"/>
        <w:spacing w:before="120" w:beforeAutospacing="0" w:after="0" w:afterAutospacing="0"/>
      </w:pPr>
      <w:r>
        <w:rPr>
          <w:rFonts w:ascii="Arial" w:hAnsi="Arial" w:cs="Arial"/>
        </w:rPr>
        <w:t xml:space="preserve">Our common shares are registered with SVS and are listed on the Santiago Stock Exchange, the </w:t>
      </w:r>
      <w:r>
        <w:rPr>
          <w:rFonts w:ascii="Arial" w:hAnsi="Arial" w:cs="Arial"/>
          <w:i/>
          <w:iCs/>
        </w:rPr>
        <w:t>Bolsa Electronica de Chile</w:t>
      </w:r>
      <w:r>
        <w:rPr>
          <w:rFonts w:ascii="Arial" w:hAnsi="Arial" w:cs="Arial"/>
        </w:rPr>
        <w:t xml:space="preserve"> and the Valparaiso Stock Exchange u</w:t>
      </w:r>
      <w:r>
        <w:rPr>
          <w:rFonts w:ascii="Arial" w:hAnsi="Arial" w:cs="Arial"/>
        </w:rPr>
        <w:t xml:space="preserve">nder the symbol _CENCOSUD._ On June 7, 2012, the last reported sale price of the shares on the Santiago Stock Exchange, the </w:t>
      </w:r>
      <w:r>
        <w:rPr>
          <w:rFonts w:ascii="Arial" w:hAnsi="Arial" w:cs="Arial"/>
          <w:i/>
          <w:iCs/>
        </w:rPr>
        <w:t>Bolsa Electronica de Chile</w:t>
      </w:r>
      <w:r>
        <w:rPr>
          <w:rFonts w:ascii="Arial" w:hAnsi="Arial" w:cs="Arial"/>
        </w:rPr>
        <w:t xml:space="preserve"> and the Valparaiso Stock Exchange was Ch$2,774.80, Ch$2,770, and Ch$2,727 per share, respectively. </w:t>
      </w:r>
    </w:p>
    <w:p w:rsidR="00000000" w:rsidRDefault="003E5AFF">
      <w:pPr>
        <w:pStyle w:val="NormalWeb"/>
        <w:spacing w:before="240" w:beforeAutospacing="0" w:after="0" w:afterAutospacing="0"/>
      </w:pPr>
      <w:r>
        <w:rPr>
          <w:rFonts w:ascii="Arial" w:hAnsi="Arial" w:cs="Arial"/>
          <w:b/>
          <w:bCs/>
          <w:sz w:val="24"/>
          <w:szCs w:val="24"/>
        </w:rPr>
        <w:t xml:space="preserve">Price history of our common shares </w:t>
      </w:r>
    </w:p>
    <w:p w:rsidR="00000000" w:rsidRDefault="003E5AFF">
      <w:pPr>
        <w:pStyle w:val="NormalWeb"/>
        <w:spacing w:before="120" w:beforeAutospacing="0" w:after="0" w:afterAutospacing="0"/>
      </w:pPr>
      <w:r>
        <w:rPr>
          <w:rFonts w:ascii="Arial" w:hAnsi="Arial" w:cs="Arial"/>
        </w:rPr>
        <w:t xml:space="preserve">The table below sets forth the trading volume and the high and low closing sales prices for our common shares on the Santiago Stock Exchange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559"/>
        <w:gridCol w:w="395"/>
        <w:gridCol w:w="71"/>
        <w:gridCol w:w="1419"/>
        <w:gridCol w:w="112"/>
        <w:gridCol w:w="395"/>
        <w:gridCol w:w="367"/>
        <w:gridCol w:w="501"/>
        <w:gridCol w:w="112"/>
        <w:gridCol w:w="395"/>
        <w:gridCol w:w="367"/>
        <w:gridCol w:w="501"/>
        <w:gridCol w:w="112"/>
      </w:tblGrid>
      <w:tr w:rsidR="00000000">
        <w:trPr>
          <w:jc w:val="center"/>
        </w:trPr>
        <w:tc>
          <w:tcPr>
            <w:tcW w:w="3150" w:type="pct"/>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right"/>
              <w:rPr>
                <w:rFonts w:eastAsia="Times New Roman" w:cs="Times New Roman"/>
              </w:rPr>
            </w:pPr>
            <w:r>
              <w:rPr>
                <w:rFonts w:ascii="Arial" w:eastAsia="Times New Roman" w:hAnsi="Arial" w:cs="Arial"/>
                <w:b/>
                <w:bCs/>
              </w:rPr>
              <w:t>Santiago stock exchange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(in Ch$ per common share</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Trading volume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High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Low</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Year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725,156,455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708,321,649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831.6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2009</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706,805,501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735,020,230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577,949,277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Quarter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2010</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212,799,818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Second Quarter,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161,527,264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Third Quarter, 2010</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166,548,588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Fourth Quarter,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194,146,560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157,683,999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Second Quarter,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107,073,291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Third Quarter,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183,113,316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Fourth Quarter,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130,078,380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102,539,491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Month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November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46,002,629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December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37,767,678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January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38,055,371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February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31,790,533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March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32,693,587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April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31,809,827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May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36,253,598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June 1, 2012 through June 6,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10,673,139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60" w:beforeAutospacing="0" w:after="0" w:afterAutospacing="0"/>
        <w:ind w:left="119" w:hanging="122"/>
      </w:pPr>
      <w:r>
        <w:rPr>
          <w:rFonts w:ascii="Arial" w:hAnsi="Arial" w:cs="Arial"/>
          <w:i/>
          <w:iCs/>
          <w:sz w:val="15"/>
          <w:szCs w:val="15"/>
        </w:rPr>
        <w:t xml:space="preserve">Source: </w:t>
      </w:r>
      <w:r>
        <w:rPr>
          <w:rFonts w:ascii="Arial" w:hAnsi="Arial" w:cs="Arial"/>
          <w:sz w:val="15"/>
          <w:szCs w:val="15"/>
        </w:rPr>
        <w:t xml:space="preserve">Santiago Stock Exchange.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trading volume.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- 73 - </w:t>
      </w:r>
    </w:p>
    <w:p w:rsidR="00000000" w:rsidRDefault="003E5AFF">
      <w:pPr>
        <w:rPr>
          <w:rFonts w:eastAsia="Times New Roman" w:cs="Times New Roman"/>
        </w:rPr>
      </w:pPr>
      <w:r>
        <w:rPr>
          <w:rFonts w:eastAsia="Times New Roman" w:cs="Times New Roman"/>
        </w:rPr>
        <w:pict>
          <v:rect id="_x0000_i1107" style="width:441.9pt;height:3pt" o:hralign="center" o:hrstd="t" o:hrnoshade="t" o:hr="t" fillcolor="#999" stroked="f"/>
        </w:pict>
      </w:r>
    </w:p>
    <w:p w:rsidR="00000000" w:rsidRDefault="003E5AFF">
      <w:pPr>
        <w:pStyle w:val="Heading5"/>
        <w:rPr>
          <w:rFonts w:eastAsia="Times New Roman" w:cs="Times New Roman"/>
        </w:rPr>
      </w:pPr>
      <w:hyperlink r:id="rId12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The table below sets forth the high and low closing sales prices for our common shares on the </w:t>
      </w:r>
      <w:r>
        <w:rPr>
          <w:rFonts w:ascii="Arial" w:hAnsi="Arial" w:cs="Arial"/>
          <w:i/>
          <w:iCs/>
        </w:rPr>
        <w:t>Bolsa Electronica de Chile</w:t>
      </w:r>
      <w:r>
        <w:rPr>
          <w:rFonts w:ascii="Arial" w:hAnsi="Arial" w:cs="Arial"/>
        </w:rPr>
        <w:t xml:space="preserve">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388"/>
        <w:gridCol w:w="452"/>
        <w:gridCol w:w="71"/>
        <w:gridCol w:w="1419"/>
        <w:gridCol w:w="112"/>
        <w:gridCol w:w="452"/>
        <w:gridCol w:w="367"/>
        <w:gridCol w:w="501"/>
        <w:gridCol w:w="112"/>
        <w:gridCol w:w="452"/>
        <w:gridCol w:w="367"/>
        <w:gridCol w:w="501"/>
        <w:gridCol w:w="112"/>
      </w:tblGrid>
      <w:tr w:rsidR="00000000">
        <w:trPr>
          <w:jc w:val="center"/>
        </w:trPr>
        <w:tc>
          <w:tcPr>
            <w:tcW w:w="300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Chile electronic stock exchange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(in Ch$ per common share</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Trading volume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High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Low</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Year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123,085,482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155,403,697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2009</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83,245,426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66,025,944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63,461,270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Quarter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2010</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9,570,377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Second Quarter,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12,672,187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Third Quarter, 2010</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15,609,351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Fourth Quarter,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28,174,029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18,643,106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Second Quarter,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10,120,787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Third Quarter,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22,174,771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Fourth Quarter,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12,522,606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8,821,459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Month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November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5,119,879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December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2,654,348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January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1,847,751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February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3,094,314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March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3,879,394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April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3,442,642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May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5,565,604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June 1, 2012 through June 6,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3,147,035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60" w:beforeAutospacing="0" w:after="0" w:afterAutospacing="0"/>
      </w:pPr>
      <w:r>
        <w:rPr>
          <w:rFonts w:ascii="Arial" w:hAnsi="Arial" w:cs="Arial"/>
          <w:i/>
          <w:iCs/>
          <w:sz w:val="15"/>
          <w:szCs w:val="15"/>
        </w:rPr>
        <w:t xml:space="preserve">Source: Bolsa Electronica de Chile.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trading volume.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- 74 - </w:t>
      </w:r>
    </w:p>
    <w:p w:rsidR="00000000" w:rsidRDefault="003E5AFF">
      <w:pPr>
        <w:rPr>
          <w:rFonts w:eastAsia="Times New Roman" w:cs="Times New Roman"/>
        </w:rPr>
      </w:pPr>
      <w:r>
        <w:rPr>
          <w:rFonts w:eastAsia="Times New Roman" w:cs="Times New Roman"/>
        </w:rPr>
        <w:pict>
          <v:rect id="_x0000_i1108" style="width:441.9pt;height:3pt" o:hralign="center" o:hrstd="t" o:hrnoshade="t" o:hr="t" fillcolor="#999" stroked="f"/>
        </w:pict>
      </w:r>
    </w:p>
    <w:p w:rsidR="00000000" w:rsidRDefault="003E5AFF">
      <w:pPr>
        <w:pStyle w:val="Heading5"/>
        <w:rPr>
          <w:rFonts w:eastAsia="Times New Roman" w:cs="Times New Roman"/>
        </w:rPr>
      </w:pPr>
      <w:hyperlink r:id="rId12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table below sets forth the high and low closing sales prices for our common shares on the Valpara_so Stock Exchange for the periods ind</w:t>
      </w:r>
      <w:r>
        <w:rPr>
          <w:rFonts w:ascii="Arial" w:hAnsi="Arial" w:cs="Arial"/>
        </w:rPr>
        <w:t xml:space="preserve">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274"/>
        <w:gridCol w:w="490"/>
        <w:gridCol w:w="88"/>
        <w:gridCol w:w="1402"/>
        <w:gridCol w:w="112"/>
        <w:gridCol w:w="490"/>
        <w:gridCol w:w="367"/>
        <w:gridCol w:w="501"/>
        <w:gridCol w:w="112"/>
        <w:gridCol w:w="490"/>
        <w:gridCol w:w="367"/>
        <w:gridCol w:w="501"/>
        <w:gridCol w:w="112"/>
      </w:tblGrid>
      <w:tr w:rsidR="00000000">
        <w:trPr>
          <w:jc w:val="center"/>
        </w:trPr>
        <w:tc>
          <w:tcPr>
            <w:tcW w:w="3000" w:type="pct"/>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Valpara_so stock exchange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(in Ch$ per common share</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Trading volume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High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Low</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Year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1,843,749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1,715,418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2009</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2,288.596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2,532,894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691,132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Quarter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2010</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970,904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Second Quarter,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272,697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Third Quarter, 2010</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715,353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Fourth Quarter,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573,940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195,423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Second Quarter,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216,079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Third Quarter,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169,524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Fourth Quarter,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110,106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First Quarter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85,440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Month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November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51,961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December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January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27,597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February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14,142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March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43,701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April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129,878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May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57,785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June 1, 2012 through June 6,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60" w:beforeAutospacing="0" w:after="0" w:afterAutospacing="0"/>
        <w:ind w:left="119" w:hanging="122"/>
      </w:pPr>
      <w:r>
        <w:rPr>
          <w:rFonts w:ascii="Arial" w:hAnsi="Arial" w:cs="Arial"/>
          <w:i/>
          <w:iCs/>
          <w:sz w:val="15"/>
          <w:szCs w:val="15"/>
        </w:rPr>
        <w:t xml:space="preserve">Source: </w:t>
      </w:r>
      <w:r>
        <w:rPr>
          <w:rFonts w:ascii="Arial" w:hAnsi="Arial" w:cs="Arial"/>
          <w:sz w:val="15"/>
          <w:szCs w:val="15"/>
        </w:rPr>
        <w:t xml:space="preserve">Valpara_so Stock Exchange.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trading volume.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- 75 - </w:t>
      </w:r>
    </w:p>
    <w:p w:rsidR="00000000" w:rsidRDefault="003E5AFF">
      <w:pPr>
        <w:rPr>
          <w:rFonts w:eastAsia="Times New Roman" w:cs="Times New Roman"/>
        </w:rPr>
      </w:pPr>
      <w:r>
        <w:rPr>
          <w:rFonts w:eastAsia="Times New Roman" w:cs="Times New Roman"/>
        </w:rPr>
        <w:pict>
          <v:rect id="_x0000_i1109" style="width:441.9pt;height:3pt" o:hralign="center" o:hrstd="t" o:hrnoshade="t" o:hr="t" fillcolor="#999" stroked="f"/>
        </w:pict>
      </w:r>
    </w:p>
    <w:p w:rsidR="00000000" w:rsidRDefault="003E5AFF">
      <w:pPr>
        <w:pStyle w:val="Heading5"/>
        <w:rPr>
          <w:rFonts w:eastAsia="Times New Roman" w:cs="Times New Roman"/>
        </w:rPr>
      </w:pPr>
      <w:hyperlink r:id="rId12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0" w:name="rom343004_9"/>
      <w:bookmarkEnd w:id="10"/>
      <w:r>
        <w:rPr>
          <w:rFonts w:ascii="Arial" w:hAnsi="Arial" w:cs="Arial"/>
          <w:b/>
          <w:bCs/>
          <w:sz w:val="36"/>
          <w:szCs w:val="36"/>
        </w:rPr>
        <w:t xml:space="preserve">Dividend policy </w:t>
      </w:r>
    </w:p>
    <w:p w:rsidR="00000000" w:rsidRDefault="003E5AFF">
      <w:pPr>
        <w:pStyle w:val="NormalWeb"/>
        <w:spacing w:before="120" w:beforeAutospacing="0" w:after="0" w:afterAutospacing="0"/>
      </w:pPr>
      <w:r>
        <w:rPr>
          <w:rFonts w:ascii="Arial" w:hAnsi="Arial" w:cs="Arial"/>
        </w:rPr>
        <w:t>Our dividend policy is determined from time to time by our board of directors. It is the Company_s general practice to pay interim and annual dividends in</w:t>
      </w:r>
      <w:r>
        <w:rPr>
          <w:rFonts w:ascii="Arial" w:hAnsi="Arial" w:cs="Arial"/>
        </w:rPr>
        <w:t xml:space="preserve"> November and May. Dividends are paid to shareholders of record on the fifth Chilean business day preceding the date for the payment of the dividend. </w:t>
      </w:r>
    </w:p>
    <w:p w:rsidR="00000000" w:rsidRDefault="003E5AFF">
      <w:pPr>
        <w:pStyle w:val="NormalWeb"/>
        <w:spacing w:before="120" w:beforeAutospacing="0" w:after="0" w:afterAutospacing="0"/>
      </w:pPr>
      <w:r>
        <w:rPr>
          <w:rFonts w:ascii="Arial" w:hAnsi="Arial" w:cs="Arial"/>
        </w:rPr>
        <w:t>As required by the Chilean Corporations Law, unless otherwise approved by unanimous vote of holders of al</w:t>
      </w:r>
      <w:r>
        <w:rPr>
          <w:rFonts w:ascii="Arial" w:hAnsi="Arial" w:cs="Arial"/>
        </w:rPr>
        <w:t>l of our issued and subscribed shares, we must distribute a cash dividend in an amount no less than 30% of the Company_s consolidated net income for that year, unless and except to the extent we have a deficit in retained earnings. We may distribute a cash</w:t>
      </w:r>
      <w:r>
        <w:rPr>
          <w:rFonts w:ascii="Arial" w:hAnsi="Arial" w:cs="Arial"/>
        </w:rPr>
        <w:t xml:space="preserve"> dividend in an amount greater than 30% if approved by a majority vote of shareholders. </w:t>
      </w:r>
    </w:p>
    <w:p w:rsidR="00000000" w:rsidRDefault="003E5AFF">
      <w:pPr>
        <w:pStyle w:val="NormalWeb"/>
        <w:spacing w:before="120" w:beforeAutospacing="0" w:after="0" w:afterAutospacing="0"/>
      </w:pPr>
      <w:r>
        <w:rPr>
          <w:rFonts w:ascii="Arial" w:hAnsi="Arial" w:cs="Arial"/>
        </w:rPr>
        <w:t>Shareholders who are not residents of Chile must register as foreign investors under one of the foreign investment regimes contemplated by Chilean law to receive divid</w:t>
      </w:r>
      <w:r>
        <w:rPr>
          <w:rFonts w:ascii="Arial" w:hAnsi="Arial" w:cs="Arial"/>
        </w:rPr>
        <w:t>ends, sale proceeds or other amount with respect to their shares remitted outside Chile through the Formal Market Exchange. See _Exchange Controls._ Dividends received in respect of shares of common shares by holders are subject to Chilean withholding tax.</w:t>
      </w:r>
      <w:r>
        <w:rPr>
          <w:rFonts w:ascii="Arial" w:hAnsi="Arial" w:cs="Arial"/>
        </w:rPr>
        <w:t xml:space="preserve"> See _Taxation._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- 76 - </w:t>
      </w:r>
    </w:p>
    <w:p w:rsidR="00000000" w:rsidRDefault="003E5AFF">
      <w:pPr>
        <w:rPr>
          <w:rFonts w:eastAsia="Times New Roman" w:cs="Times New Roman"/>
        </w:rPr>
      </w:pPr>
      <w:r>
        <w:rPr>
          <w:rFonts w:eastAsia="Times New Roman" w:cs="Times New Roman"/>
        </w:rPr>
        <w:pict>
          <v:rect id="_x0000_i1110" style="width:441.9pt;height:3pt" o:hralign="center" o:hrstd="t" o:hrnoshade="t" o:hr="t" fillcolor="#999" stroked="f"/>
        </w:pict>
      </w:r>
    </w:p>
    <w:p w:rsidR="00000000" w:rsidRDefault="003E5AFF">
      <w:pPr>
        <w:pStyle w:val="Heading5"/>
        <w:rPr>
          <w:rFonts w:eastAsia="Times New Roman" w:cs="Times New Roman"/>
        </w:rPr>
      </w:pPr>
      <w:hyperlink r:id="rId12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1" w:name="rom343004_10"/>
      <w:bookmarkEnd w:id="11"/>
      <w:r>
        <w:rPr>
          <w:rFonts w:ascii="Arial" w:hAnsi="Arial" w:cs="Arial"/>
          <w:b/>
          <w:bCs/>
          <w:sz w:val="36"/>
          <w:szCs w:val="36"/>
        </w:rPr>
        <w:t xml:space="preserve">Capitalization </w:t>
      </w:r>
    </w:p>
    <w:p w:rsidR="00000000" w:rsidRDefault="003E5AFF">
      <w:pPr>
        <w:pStyle w:val="NormalWeb"/>
        <w:spacing w:before="120" w:beforeAutospacing="0" w:after="0" w:afterAutospacing="0"/>
        <w:ind w:left="238" w:hanging="245"/>
      </w:pPr>
      <w:r>
        <w:rPr>
          <w:rFonts w:ascii="Arial" w:hAnsi="Arial" w:cs="Arial"/>
        </w:rPr>
        <w:t>The following table sets forth our consolidated capitalization as of March </w:t>
      </w:r>
      <w:r>
        <w:rPr>
          <w:rFonts w:ascii="Arial" w:hAnsi="Arial" w:cs="Arial"/>
        </w:rPr>
        <w:t xml:space="preserve">31, 2012: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(i)</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on a historical basis;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(ii)</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as adjusted to give effect to: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sale of 91,304,348 shares of common stock in the global offering at an assumed offering price of U.S.$16.59 per ADS in the international offering and an assumed public offering price of Ch$2,774.80 per share in the Chilean offering calculated using the</w:t>
            </w:r>
            <w:r>
              <w:rPr>
                <w:rFonts w:ascii="Arial" w:hAnsi="Arial" w:cs="Arial"/>
              </w:rPr>
              <w:t xml:space="preserve"> last reported sale price of the shares on the Santiago Stock Exchange on June 7, 2012 of Ch$2,774.80 and assuming the international underwriters do not exercise the over-allotment option, and </w:t>
            </w:r>
          </w:p>
        </w:tc>
      </w:tr>
    </w:tbl>
    <w:p w:rsidR="00000000" w:rsidRDefault="003E5AFF">
      <w:pPr>
        <w:pStyle w:val="NormalWeb"/>
        <w:spacing w:before="120" w:beforeAutospacing="0" w:after="0" w:afterAutospacing="0"/>
        <w:ind w:left="238" w:firstLine="490"/>
      </w:pPr>
      <w:r>
        <w:rPr>
          <w:rFonts w:ascii="Arial" w:hAnsi="Arial" w:cs="Arial"/>
        </w:rPr>
        <w:t>(a) the sale of 69,000,000 shares of common stock in the preem</w:t>
      </w:r>
      <w:r>
        <w:rPr>
          <w:rFonts w:ascii="Arial" w:hAnsi="Arial" w:cs="Arial"/>
        </w:rPr>
        <w:t xml:space="preserve">ptive rights offering (50% participation in the preemptive rights offering) at an equivalent price per share as the price at which the shares of common stock are being offered in the Chilean offering (assuming the waiver by our Controlling Shareholders of </w:t>
      </w:r>
      <w:r>
        <w:rPr>
          <w:rFonts w:ascii="Arial" w:hAnsi="Arial" w:cs="Arial"/>
        </w:rPr>
        <w:t xml:space="preserve">their rights with respect to up to 105,000,000 shares subject to such preemptive rights offering and the exercise in full of the remaining preemptive subscription rights by the Controlling Shareholders), and </w:t>
      </w:r>
    </w:p>
    <w:p w:rsidR="00000000" w:rsidRDefault="003E5AFF">
      <w:pPr>
        <w:pStyle w:val="NormalWeb"/>
        <w:spacing w:before="120" w:beforeAutospacing="0" w:after="0" w:afterAutospacing="0"/>
        <w:ind w:left="238" w:firstLine="490"/>
      </w:pPr>
      <w:r>
        <w:rPr>
          <w:rFonts w:ascii="Arial" w:hAnsi="Arial" w:cs="Arial"/>
        </w:rPr>
        <w:t>(b) the sale of 138,000,000 shares of common st</w:t>
      </w:r>
      <w:r>
        <w:rPr>
          <w:rFonts w:ascii="Arial" w:hAnsi="Arial" w:cs="Arial"/>
        </w:rPr>
        <w:t>ock in the preemptive rights offering (100% participation in the preemptive rights offering) at an equivalent price per share as the price at which the shares of common stock are being offered in the Chilean offering (assuming the waiver by our Controlling</w:t>
      </w:r>
      <w:r>
        <w:rPr>
          <w:rFonts w:ascii="Arial" w:hAnsi="Arial" w:cs="Arial"/>
        </w:rPr>
        <w:t xml:space="preserve"> Shareholders of their rights with respect to up to 105,000,000 shares subject to such preemptive rights offering and the exercise in full of the remaining preemptive subscription rights by the Controlling Shareholders), </w:t>
      </w:r>
    </w:p>
    <w:p w:rsidR="00000000" w:rsidRDefault="003E5AFF">
      <w:pPr>
        <w:pStyle w:val="NormalWeb"/>
        <w:spacing w:before="120" w:beforeAutospacing="0" w:after="0" w:afterAutospacing="0"/>
      </w:pPr>
      <w:r>
        <w:rPr>
          <w:rFonts w:ascii="Arial" w:hAnsi="Arial" w:cs="Arial"/>
        </w:rPr>
        <w:t>after deducting underwriting disco</w:t>
      </w:r>
      <w:r>
        <w:rPr>
          <w:rFonts w:ascii="Arial" w:hAnsi="Arial" w:cs="Arial"/>
        </w:rPr>
        <w:t xml:space="preserve">unts and estimated offering expenses and to reflect the application of the net proceeds as described in _Use of Proceeds._ </w:t>
      </w:r>
    </w:p>
    <w:p w:rsidR="00000000" w:rsidRDefault="003E5AFF">
      <w:pPr>
        <w:pStyle w:val="NormalWeb"/>
        <w:spacing w:before="120" w:beforeAutospacing="0" w:after="0" w:afterAutospacing="0"/>
      </w:pPr>
      <w:r>
        <w:rPr>
          <w:rFonts w:ascii="Arial" w:hAnsi="Arial" w:cs="Arial"/>
        </w:rPr>
        <w:t>You should read the information in this table in conjunction with our historical financial statements and the notes to those statements appearing elsewhere in this prospectus, _Selected Consolidated Financial Data_ and _Management_s Discussion and Analysis</w:t>
      </w:r>
      <w:r>
        <w:rPr>
          <w:rFonts w:ascii="Arial" w:hAnsi="Arial" w:cs="Arial"/>
        </w:rPr>
        <w:t xml:space="preserve"> of Financial Condition and Results of Operations._ </w:t>
      </w:r>
    </w:p>
    <w:p w:rsidR="00000000" w:rsidRDefault="003E5AFF">
      <w:pPr>
        <w:pStyle w:val="NormalWeb"/>
        <w:spacing w:before="0" w:beforeAutospacing="0" w:after="0" w:afterAutospacing="0"/>
        <w:rPr>
          <w:sz w:val="12"/>
          <w:szCs w:val="12"/>
        </w:rPr>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- 77 - </w:t>
      </w:r>
    </w:p>
    <w:p w:rsidR="00000000" w:rsidRDefault="003E5AFF">
      <w:pPr>
        <w:rPr>
          <w:rFonts w:eastAsia="Times New Roman" w:cs="Times New Roman"/>
        </w:rPr>
      </w:pPr>
      <w:r>
        <w:rPr>
          <w:rFonts w:eastAsia="Times New Roman" w:cs="Times New Roman"/>
        </w:rPr>
        <w:pict>
          <v:rect id="_x0000_i1111" style="width:441.9pt;height:3pt" o:hralign="center" o:hrstd="t" o:hrnoshade="t" o:hr="t" fillcolor="#999" stroked="f"/>
        </w:pict>
      </w:r>
    </w:p>
    <w:p w:rsidR="00000000" w:rsidRDefault="003E5AFF">
      <w:pPr>
        <w:pStyle w:val="Heading5"/>
        <w:rPr>
          <w:rFonts w:eastAsia="Times New Roman" w:cs="Times New Roman"/>
        </w:rPr>
      </w:pPr>
      <w:hyperlink r:id="rId128"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1877"/>
        <w:gridCol w:w="38"/>
        <w:gridCol w:w="56"/>
        <w:gridCol w:w="890"/>
        <w:gridCol w:w="123"/>
        <w:gridCol w:w="38"/>
        <w:gridCol w:w="67"/>
        <w:gridCol w:w="1067"/>
        <w:gridCol w:w="123"/>
        <w:gridCol w:w="38"/>
        <w:gridCol w:w="67"/>
        <w:gridCol w:w="1067"/>
        <w:gridCol w:w="123"/>
        <w:gridCol w:w="38"/>
        <w:gridCol w:w="96"/>
        <w:gridCol w:w="46"/>
        <w:gridCol w:w="56"/>
        <w:gridCol w:w="890"/>
        <w:gridCol w:w="123"/>
        <w:gridCol w:w="38"/>
        <w:gridCol w:w="67"/>
        <w:gridCol w:w="1067"/>
        <w:gridCol w:w="123"/>
        <w:gridCol w:w="38"/>
        <w:gridCol w:w="67"/>
        <w:gridCol w:w="1067"/>
        <w:gridCol w:w="123"/>
      </w:tblGrid>
      <w:tr w:rsidR="00000000">
        <w:trPr>
          <w:jc w:val="center"/>
        </w:trPr>
        <w:tc>
          <w:tcPr>
            <w:tcW w:w="195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As of March 31, 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Actual</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As adjusted</w:t>
            </w:r>
            <w:r>
              <w:rPr>
                <w:rFonts w:ascii="Arial" w:eastAsia="Times New Roman" w:hAnsi="Arial" w:cs="Arial"/>
                <w:b/>
                <w:bCs/>
              </w:rPr>
              <w:br/>
              <w:t>50</w:t>
            </w:r>
            <w:r>
              <w:rPr>
                <w:rFonts w:ascii="Arial" w:eastAsia="Times New Roman" w:hAnsi="Arial" w:cs="Arial"/>
                <w:b/>
                <w:bCs/>
              </w:rPr>
              <w:t>%</w:t>
            </w:r>
            <w:r>
              <w:rPr>
                <w:rFonts w:ascii="Arial" w:eastAsia="Times New Roman" w:hAnsi="Arial" w:cs="Arial"/>
                <w:b/>
                <w:bCs/>
                <w:sz w:val="15"/>
                <w:szCs w:val="15"/>
                <w:vertAlign w:val="superscript"/>
              </w:rPr>
              <w:t>(2)</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pStyle w:val="NormalWeb"/>
              <w:spacing w:before="0" w:beforeAutospacing="0" w:after="0" w:afterAutospacing="0"/>
              <w:jc w:val="center"/>
            </w:pPr>
            <w:r>
              <w:rPr>
                <w:rFonts w:ascii="Arial" w:hAnsi="Arial" w:cs="Arial"/>
                <w:b/>
                <w:bCs/>
              </w:rPr>
              <w:t>As adjusted</w:t>
            </w:r>
          </w:p>
          <w:p w:rsidR="00000000" w:rsidRDefault="003E5AFF">
            <w:pPr>
              <w:pStyle w:val="NormalWeb"/>
              <w:spacing w:before="0" w:beforeAutospacing="0" w:after="15" w:afterAutospacing="0"/>
              <w:jc w:val="center"/>
            </w:pPr>
            <w:r>
              <w:rPr>
                <w:rFonts w:ascii="Arial" w:hAnsi="Arial" w:cs="Arial"/>
                <w:b/>
                <w:bCs/>
              </w:rPr>
              <w:t>100</w:t>
            </w:r>
            <w:r>
              <w:rPr>
                <w:rFonts w:ascii="Arial" w:hAnsi="Arial" w:cs="Arial"/>
                <w:b/>
                <w:bCs/>
              </w:rPr>
              <w:t>%</w:t>
            </w:r>
            <w:r>
              <w:rPr>
                <w:rFonts w:ascii="Arial" w:hAnsi="Arial" w:cs="Arial"/>
                <w:b/>
                <w:bCs/>
                <w:sz w:val="15"/>
                <w:szCs w:val="15"/>
                <w:vertAlign w:val="superscript"/>
              </w:rPr>
              <w:t>(3)</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Actual</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As adjusted</w:t>
            </w:r>
            <w:r>
              <w:rPr>
                <w:rFonts w:ascii="Arial" w:eastAsia="Times New Roman" w:hAnsi="Arial" w:cs="Arial"/>
                <w:b/>
                <w:bCs/>
              </w:rPr>
              <w:br/>
              <w:t>50</w:t>
            </w:r>
            <w:r>
              <w:rPr>
                <w:rFonts w:ascii="Arial" w:eastAsia="Times New Roman" w:hAnsi="Arial" w:cs="Arial"/>
                <w:b/>
                <w:bCs/>
              </w:rPr>
              <w:t>%</w:t>
            </w:r>
            <w:r>
              <w:rPr>
                <w:rFonts w:ascii="Arial" w:eastAsia="Times New Roman" w:hAnsi="Arial" w:cs="Arial"/>
                <w:b/>
                <w:bCs/>
                <w:sz w:val="15"/>
                <w:szCs w:val="15"/>
                <w:vertAlign w:val="superscript"/>
              </w:rPr>
              <w:t>(2)</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pStyle w:val="NormalWeb"/>
              <w:spacing w:before="0" w:beforeAutospacing="0" w:after="0" w:afterAutospacing="0"/>
              <w:jc w:val="center"/>
            </w:pPr>
            <w:r>
              <w:rPr>
                <w:rFonts w:ascii="Arial" w:hAnsi="Arial" w:cs="Arial"/>
                <w:b/>
                <w:bCs/>
              </w:rPr>
              <w:t>As adjusted</w:t>
            </w:r>
          </w:p>
          <w:p w:rsidR="00000000" w:rsidRDefault="003E5AFF">
            <w:pPr>
              <w:pStyle w:val="NormalWeb"/>
              <w:spacing w:before="0" w:beforeAutospacing="0" w:after="15" w:afterAutospacing="0"/>
              <w:jc w:val="center"/>
            </w:pPr>
            <w:r>
              <w:rPr>
                <w:rFonts w:ascii="Arial" w:hAnsi="Arial" w:cs="Arial"/>
                <w:b/>
                <w:bCs/>
              </w:rPr>
              <w:t>100</w:t>
            </w:r>
            <w:r>
              <w:rPr>
                <w:rFonts w:ascii="Arial" w:hAnsi="Arial" w:cs="Arial"/>
                <w:b/>
                <w:bCs/>
              </w:rPr>
              <w:t>%</w:t>
            </w:r>
            <w:r>
              <w:rPr>
                <w:rFonts w:ascii="Arial" w:hAnsi="Arial" w:cs="Arial"/>
                <w:b/>
                <w:bCs/>
                <w:sz w:val="15"/>
                <w:szCs w:val="15"/>
                <w:vertAlign w:val="superscript"/>
              </w:rPr>
              <w:t>(3)</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U.S.$</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b/>
                <w:bCs/>
              </w:rPr>
              <w:t>Short-term debt: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Bank debt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985.27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554.74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518.08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480,260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270,401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252,531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Bonds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22,994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22,994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22,994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Other financial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761.54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289.98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289.98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371,207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141,347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141,347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720" w:hanging="240"/>
            </w:pPr>
            <w:r>
              <w:rPr>
                <w:rFonts w:ascii="Arial" w:hAnsi="Arial" w:cs="Arial"/>
              </w:rPr>
              <w:t>Total short-term debt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1,793.98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891.89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855.23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874,461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434,742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416,872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Long-term debt: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Bank debt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1,121.69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1,121.69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1,121.69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546,756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546,756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546,756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Bonds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2,287.54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2,287.54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2,287.54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1,115,039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1,115,039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1,115,039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Other financial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466.90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466.90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466.90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227,587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227,587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227,587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long-term debt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3,876.13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3,876.13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3,876.13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1,889,382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1,889,382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1,889,382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b/>
                <w:bCs/>
              </w:rPr>
              <w:t>Shareholders_ equity:</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Shares, without (nominal) par value and issuing premiums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2,882.70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2,882.70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2,882.70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1,405,146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1,405,146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1,405,146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Shares offered hereby</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1,294.89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439,718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631,180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Reserves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(580.77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(719.57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(719.57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(283,088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(350,745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(350,745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Retained earnings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3,517.86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3,517.86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3,517.86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1,714,744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1,714,744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1,714,744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Non-controlling interest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174.07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84,844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720" w:hanging="240"/>
            </w:pPr>
            <w:r>
              <w:rPr>
                <w:rFonts w:ascii="Arial" w:hAnsi="Arial" w:cs="Arial"/>
              </w:rPr>
              <w:t>Total net equity</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5,993.86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6,587.01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6,979.79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2,921,646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3,210,771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3,402,233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tcBorders>
              <w:bottom w:val="single" w:sz="6" w:space="0" w:color="000000"/>
            </w:tcBorders>
            <w:hideMark/>
          </w:tcPr>
          <w:p w:rsidR="00000000" w:rsidRDefault="003E5AFF">
            <w:pPr>
              <w:pStyle w:val="NormalWeb"/>
              <w:ind w:left="960" w:hanging="240"/>
            </w:pPr>
            <w:r>
              <w:rPr>
                <w:rFonts w:ascii="Arial" w:hAnsi="Arial" w:cs="Arial"/>
              </w:rPr>
              <w:t>Total capitalization</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11,663.97</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11,355.03</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11,711.15</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5,685,489</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5,534,895</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5,708,487</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Chilean peso amounts have been translated into U.S. dollars at an exchange rate of Ch$487.44 per U.S.$1.00, the observed exchange rate on March 30, 2012. See _Exchange Rates._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Assumes the sale of 91,304,348 shares of common stock in the global offering and 69,000,000 shares of common stock in the preemptive rights offering.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Assumes the sale of 91,304,348 shares of common stock in the global offering and 138,000,000 shares of common stock in the preemptive rights offering.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- 78 - </w:t>
      </w:r>
    </w:p>
    <w:p w:rsidR="00000000" w:rsidRDefault="003E5AFF">
      <w:pPr>
        <w:rPr>
          <w:rFonts w:eastAsia="Times New Roman" w:cs="Times New Roman"/>
        </w:rPr>
      </w:pPr>
      <w:r>
        <w:rPr>
          <w:rFonts w:eastAsia="Times New Roman" w:cs="Times New Roman"/>
        </w:rPr>
        <w:pict>
          <v:rect id="_x0000_i1112" style="width:441.9pt;height:3pt" o:hralign="center" o:hrstd="t" o:hrnoshade="t" o:hr="t" fillcolor="#999" stroked="f"/>
        </w:pict>
      </w:r>
    </w:p>
    <w:p w:rsidR="00000000" w:rsidRDefault="003E5AFF">
      <w:pPr>
        <w:pStyle w:val="Heading5"/>
        <w:rPr>
          <w:rFonts w:eastAsia="Times New Roman" w:cs="Times New Roman"/>
        </w:rPr>
      </w:pPr>
      <w:hyperlink r:id="rId12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2" w:name="rom343004_11"/>
      <w:bookmarkEnd w:id="12"/>
      <w:r>
        <w:rPr>
          <w:rFonts w:ascii="Arial" w:hAnsi="Arial" w:cs="Arial"/>
          <w:b/>
          <w:bCs/>
          <w:sz w:val="36"/>
          <w:szCs w:val="36"/>
        </w:rPr>
        <w:t xml:space="preserve">Dilution </w:t>
      </w:r>
    </w:p>
    <w:p w:rsidR="00000000" w:rsidRDefault="003E5AFF">
      <w:pPr>
        <w:pStyle w:val="NormalWeb"/>
        <w:spacing w:before="120" w:beforeAutospacing="0" w:after="0" w:afterAutospacing="0"/>
      </w:pPr>
      <w:r>
        <w:rPr>
          <w:rFonts w:ascii="Arial" w:hAnsi="Arial" w:cs="Arial"/>
        </w:rPr>
        <w:t xml:space="preserve">Our net tangible book value as of March 31, 2012 was approximately Ch$1,179,687,605 thousand (US$2,275 million) , or Ch$521.04 per common share (US$1.00) and Ch$1,563.12 (US$3.01) per ADS based on the </w:t>
      </w:r>
      <w:r>
        <w:rPr>
          <w:rFonts w:ascii="Arial" w:hAnsi="Arial" w:cs="Arial"/>
        </w:rPr>
        <w:t>ratio of 3 shares of common stock per ADS. Net tangible book value represents the amount of our total consolidated assets, less the amount of our total consolidated liabilities and non-controlling interests less goodwill and intangible assets, divided by 2</w:t>
      </w:r>
      <w:r>
        <w:rPr>
          <w:rFonts w:ascii="Arial" w:hAnsi="Arial" w:cs="Arial"/>
        </w:rPr>
        <w:t xml:space="preserve">,264,103,215, the total number of our shares of common stock issued and outstanding. </w:t>
      </w:r>
    </w:p>
    <w:p w:rsidR="00000000" w:rsidRDefault="003E5AFF">
      <w:pPr>
        <w:pStyle w:val="NormalWeb"/>
        <w:spacing w:before="120" w:beforeAutospacing="0" w:after="0" w:afterAutospacing="0"/>
      </w:pPr>
      <w:r>
        <w:rPr>
          <w:rFonts w:ascii="Arial" w:hAnsi="Arial" w:cs="Arial"/>
        </w:rPr>
        <w:t>After giving effect to the sale of 91,304,348 shares in the global offering at an assumed offering price of U.S.$16.59 per ADS in the international offering and an assume</w:t>
      </w:r>
      <w:r>
        <w:rPr>
          <w:rFonts w:ascii="Arial" w:hAnsi="Arial" w:cs="Arial"/>
        </w:rPr>
        <w:t>d public offering price of Ch$2,774.80 per share in the Chilean offering calculated using the last reported sale price of the shares on the Santiago Stock Exchange on June 7, 2012 of Ch$2,774.80 and an exchange rate of Ch$501.74=US$1.00 on such date, the e</w:t>
      </w:r>
      <w:r>
        <w:rPr>
          <w:rFonts w:ascii="Arial" w:hAnsi="Arial" w:cs="Arial"/>
        </w:rPr>
        <w:t xml:space="preserve">xercise of the preemptive rights under the preemptive rights offering at an equivalent price per share as the price at which the shares of common stock are being offered in the Chilean offering (assuming the waiver by our Controlling Shareholders of their </w:t>
      </w:r>
      <w:r>
        <w:rPr>
          <w:rFonts w:ascii="Arial" w:hAnsi="Arial" w:cs="Arial"/>
        </w:rPr>
        <w:t>rights with respect to 105,000,000 shares of common stock subject to such preemptive rights offering and the exercise in full of the remaining preemptive subscription rights), and further assuming that the international underwriters have not exercised thei</w:t>
      </w:r>
      <w:r>
        <w:rPr>
          <w:rFonts w:ascii="Arial" w:hAnsi="Arial" w:cs="Arial"/>
        </w:rPr>
        <w:t>r over-allotment option, and after deduction of the estimated discounts and commissions and estimated offering expenses payable by us, our adjusted net tangible book value estimated as of the date of this prospectus would have been approximately U.S.$3,609</w:t>
      </w:r>
      <w:r>
        <w:rPr>
          <w:rFonts w:ascii="Arial" w:hAnsi="Arial" w:cs="Arial"/>
        </w:rPr>
        <w:t>.15 million, or U.S.$4.47 per ADS or Ch$521.04 per common share. This represents an immediate increase in net tangible book value of U.S.$1.42 per ADS or Ch$236.71 per common share to our existing shareholders and an immediate dilution of U.S.$12.13 per AD</w:t>
      </w:r>
      <w:r>
        <w:rPr>
          <w:rFonts w:ascii="Arial" w:hAnsi="Arial" w:cs="Arial"/>
        </w:rPr>
        <w:t>S and Ch$2,027.84 per common share to new purchasers in the global offering. Dilution for this purpose represents the difference between the price per ADS or common share paid by these purchasers and net tangible book value per ADS or common share immediat</w:t>
      </w:r>
      <w:r>
        <w:rPr>
          <w:rFonts w:ascii="Arial" w:hAnsi="Arial" w:cs="Arial"/>
        </w:rPr>
        <w:t xml:space="preserve">ely after the completion of the global offering. </w:t>
      </w:r>
    </w:p>
    <w:p w:rsidR="00000000" w:rsidRDefault="003E5AFF">
      <w:pPr>
        <w:pStyle w:val="NormalWeb"/>
        <w:spacing w:before="120" w:beforeAutospacing="0" w:after="0" w:afterAutospacing="0"/>
        <w:ind w:left="238" w:hanging="245"/>
      </w:pPr>
      <w:r>
        <w:rPr>
          <w:rFonts w:ascii="Arial" w:hAnsi="Arial" w:cs="Arial"/>
        </w:rPr>
        <w:t xml:space="preserve">The following table illustrates such dilution on a per common share and per ADS basis: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5880"/>
        <w:gridCol w:w="283"/>
        <w:gridCol w:w="146"/>
        <w:gridCol w:w="655"/>
        <w:gridCol w:w="112"/>
        <w:gridCol w:w="284"/>
        <w:gridCol w:w="186"/>
        <w:gridCol w:w="648"/>
        <w:gridCol w:w="112"/>
      </w:tblGrid>
      <w:tr w:rsidR="00000000">
        <w:trPr>
          <w:jc w:val="center"/>
        </w:trPr>
        <w:tc>
          <w:tcPr>
            <w:tcW w:w="415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Per ADS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pStyle w:val="NormalWeb"/>
              <w:spacing w:before="0" w:beforeAutospacing="0" w:after="0" w:afterAutospacing="0"/>
              <w:jc w:val="right"/>
            </w:pPr>
            <w:r>
              <w:rPr>
                <w:rFonts w:ascii="Arial" w:hAnsi="Arial" w:cs="Arial"/>
                <w:b/>
                <w:bCs/>
              </w:rPr>
              <w:t>Per</w:t>
            </w:r>
          </w:p>
          <w:p w:rsidR="00000000" w:rsidRDefault="003E5AFF">
            <w:pPr>
              <w:pStyle w:val="NormalWeb"/>
              <w:spacing w:before="0" w:beforeAutospacing="0" w:after="0" w:afterAutospacing="0"/>
              <w:jc w:val="right"/>
            </w:pPr>
            <w:r>
              <w:rPr>
                <w:rFonts w:ascii="Arial" w:hAnsi="Arial" w:cs="Arial"/>
                <w:b/>
                <w:bCs/>
              </w:rPr>
              <w:t>common</w:t>
            </w:r>
          </w:p>
          <w:p w:rsidR="00000000" w:rsidRDefault="003E5AFF">
            <w:pPr>
              <w:pStyle w:val="NormalWeb"/>
              <w:spacing w:before="0" w:beforeAutospacing="0" w:after="15" w:afterAutospacing="0"/>
              <w:jc w:val="right"/>
            </w:pPr>
            <w:r>
              <w:rPr>
                <w:rFonts w:ascii="Arial" w:hAnsi="Arial" w:cs="Arial"/>
                <w:b/>
                <w:bCs/>
              </w:rPr>
              <w:t>share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Assumed public offering price(1)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Actual net tangible book value as of March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net tangible book value after giving effect to the global offering (no exercise of the international underwriters_ over-allotment option)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Adjusted net tangible book value after giving effect to the global offering (full exercise of the international underwriters_ over-allotment option)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Dilution in net tangible book value to new investors in the global offering (no exercise of the international underwriters_ over-allotment option)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Dilution in net tangible book value to new investors in the global offering (full exercise of the international underwriters_ over-allotment option)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Assumed public offering price is calculated using the last reported sale price of the shares on the Santiago Stock Exchange on June 7, 2102 of Ch$2,774.80 with an exchange rate of Ch$501.74 per US$1.00 on such date. </w:t>
            </w:r>
          </w:p>
        </w:tc>
      </w:tr>
    </w:tbl>
    <w:p w:rsidR="00000000" w:rsidRDefault="003E5AFF">
      <w:pPr>
        <w:pStyle w:val="NormalWeb"/>
        <w:spacing w:before="120" w:beforeAutospacing="0" w:after="0" w:afterAutospacing="0"/>
      </w:pPr>
      <w:r>
        <w:rPr>
          <w:rFonts w:ascii="Arial" w:hAnsi="Arial" w:cs="Arial"/>
        </w:rPr>
        <w:t>Each $1.00 increase (decrease) in the o</w:t>
      </w:r>
      <w:r>
        <w:rPr>
          <w:rFonts w:ascii="Arial" w:hAnsi="Arial" w:cs="Arial"/>
        </w:rPr>
        <w:t>ffering price per common share calculated using an exchange rate of CH$501.74=US$1.00, would increase (decrease) our adjusted net tangible book value after the global offering by US$0.27 per ADS or Ch$44.79 per share, assuming the international underwriter</w:t>
      </w:r>
      <w:r>
        <w:rPr>
          <w:rFonts w:ascii="Arial" w:hAnsi="Arial" w:cs="Arial"/>
        </w:rPr>
        <w:t xml:space="preserve">s do not exercise the over-allotment option.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- 79 - </w:t>
      </w:r>
    </w:p>
    <w:p w:rsidR="00000000" w:rsidRDefault="003E5AFF">
      <w:pPr>
        <w:rPr>
          <w:rFonts w:eastAsia="Times New Roman" w:cs="Times New Roman"/>
        </w:rPr>
      </w:pPr>
      <w:r>
        <w:rPr>
          <w:rFonts w:eastAsia="Times New Roman" w:cs="Times New Roman"/>
        </w:rPr>
        <w:pict>
          <v:rect id="_x0000_i1113" style="width:441.9pt;height:3pt" o:hralign="center" o:hrstd="t" o:hrnoshade="t" o:hr="t" fillcolor="#999" stroked="f"/>
        </w:pict>
      </w:r>
    </w:p>
    <w:p w:rsidR="00000000" w:rsidRDefault="003E5AFF">
      <w:pPr>
        <w:pStyle w:val="Heading5"/>
        <w:rPr>
          <w:rFonts w:eastAsia="Times New Roman" w:cs="Times New Roman"/>
        </w:rPr>
      </w:pPr>
      <w:hyperlink r:id="rId13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following table sets fo</w:t>
      </w:r>
      <w:r>
        <w:rPr>
          <w:rFonts w:ascii="Arial" w:hAnsi="Arial" w:cs="Arial"/>
        </w:rPr>
        <w:t>rth, as of June 7, 2012 the total number of shares of common stock owned, directly and indirectly, by our directors and senior management and the average price per share paid by directors and senior management and new investors purchasing shares, in the fo</w:t>
      </w:r>
      <w:r>
        <w:rPr>
          <w:rFonts w:ascii="Arial" w:hAnsi="Arial" w:cs="Arial"/>
        </w:rPr>
        <w:t xml:space="preserve">rm of shares or ADSs, in this offering: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029"/>
        <w:gridCol w:w="87"/>
        <w:gridCol w:w="62"/>
        <w:gridCol w:w="1393"/>
        <w:gridCol w:w="122"/>
        <w:gridCol w:w="86"/>
        <w:gridCol w:w="61"/>
        <w:gridCol w:w="739"/>
        <w:gridCol w:w="112"/>
        <w:gridCol w:w="86"/>
        <w:gridCol w:w="58"/>
        <w:gridCol w:w="753"/>
        <w:gridCol w:w="117"/>
        <w:gridCol w:w="86"/>
        <w:gridCol w:w="58"/>
        <w:gridCol w:w="823"/>
        <w:gridCol w:w="112"/>
        <w:gridCol w:w="86"/>
        <w:gridCol w:w="89"/>
        <w:gridCol w:w="1235"/>
        <w:gridCol w:w="112"/>
      </w:tblGrid>
      <w:tr w:rsidR="00000000">
        <w:trPr>
          <w:jc w:val="center"/>
        </w:trPr>
        <w:tc>
          <w:tcPr>
            <w:tcW w:w="23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Shares owned/purchased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Total consideration</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Average price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Number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Percent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Amount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Percent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Per share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right"/>
              <w:rPr>
                <w:rFonts w:eastAsia="Times New Roman" w:cs="Times New Roman"/>
              </w:rPr>
            </w:pPr>
            <w:r>
              <w:rPr>
                <w:rFonts w:ascii="Arial" w:eastAsia="Times New Roman" w:hAnsi="Arial" w:cs="Arial"/>
                <w:b/>
                <w:bCs/>
              </w:rPr>
              <w:t>(in millions of Ch$, except % and per share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Directors and senior management(1)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1,241,464,516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603,410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486.05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New investors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91,304,348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253,351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2,774.80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1,332,768,864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856,762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Assuming (i) the waiver of our Controlling Shareholders of their rights with respect to 105,000,000 shares of our common stock subject to such preemptive rights offering and the exercise in full of the remaining preemptive subscription rights; (ii) the ove</w:t>
            </w:r>
            <w:r>
              <w:rPr>
                <w:rFonts w:ascii="Arial" w:eastAsia="Times New Roman" w:hAnsi="Arial" w:cs="Arial"/>
              </w:rPr>
              <w:t>r-allotment option is not exercised; (iii) the Controlling Shareholders exercise in full their remaining preemptive subscription rights; and (iv) the full exercise of preemptive subscription rights by our directors and senior management who are not Control</w:t>
            </w:r>
            <w:r>
              <w:rPr>
                <w:rFonts w:ascii="Arial" w:eastAsia="Times New Roman" w:hAnsi="Arial" w:cs="Arial"/>
              </w:rPr>
              <w:t xml:space="preserve">ling Shareholders.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Last reported sale price on June 7, 2012 on the Santiago Stock Exchange. </w:t>
            </w:r>
          </w:p>
        </w:tc>
      </w:tr>
    </w:tbl>
    <w:p w:rsidR="00000000" w:rsidRDefault="003E5AFF">
      <w:pPr>
        <w:pStyle w:val="NormalWeb"/>
        <w:spacing w:before="120" w:beforeAutospacing="0" w:after="0" w:afterAutospacing="0"/>
      </w:pPr>
      <w:r>
        <w:rPr>
          <w:rFonts w:ascii="Arial" w:hAnsi="Arial" w:cs="Arial"/>
        </w:rPr>
        <w:t>Assuming the waiver by our Controlling Shareholders of their rights with respect to 105,000,000 shares of common stock subject to such preemptive rights offering and the exercise of only 50% of the remaining preemptive subscription rights, and further assu</w:t>
      </w:r>
      <w:r>
        <w:rPr>
          <w:rFonts w:ascii="Arial" w:hAnsi="Arial" w:cs="Arial"/>
        </w:rPr>
        <w:t xml:space="preserve">ming that the international underwriters have not exercised their over-allotment option, and after deduction of the estimated discounts and commissions and estimated offering expenses payable by us, our adjusted net tangible book value estimated as of the </w:t>
      </w:r>
      <w:r>
        <w:rPr>
          <w:rFonts w:ascii="Arial" w:hAnsi="Arial" w:cs="Arial"/>
        </w:rPr>
        <w:t>date of this prospectus would have been approximately U.S.$3,228 million, or U.S.$3.99 per ADS or Ch$667.96 per common share. This represents an immediate increase in net tangible book value of U.S.$0.95 per ADS or Ch$158.26 per common share to our existin</w:t>
      </w:r>
      <w:r>
        <w:rPr>
          <w:rFonts w:ascii="Arial" w:hAnsi="Arial" w:cs="Arial"/>
        </w:rPr>
        <w:t xml:space="preserve">g shareholders and an immediate dilution of U.S.$12.60 per ADS and Ch$2,106.84 per common share to new purchasers in the global offering. </w:t>
      </w:r>
    </w:p>
    <w:p w:rsidR="00000000" w:rsidRDefault="003E5AFF">
      <w:pPr>
        <w:pStyle w:val="NormalWeb"/>
        <w:spacing w:before="120" w:beforeAutospacing="0" w:after="0" w:afterAutospacing="0"/>
      </w:pPr>
      <w:r>
        <w:rPr>
          <w:rFonts w:ascii="Arial" w:hAnsi="Arial" w:cs="Arial"/>
        </w:rPr>
        <w:t>The following table illustrates such dilution on a per common share and per ADS basis (assuming the waiver by our Con</w:t>
      </w:r>
      <w:r>
        <w:rPr>
          <w:rFonts w:ascii="Arial" w:hAnsi="Arial" w:cs="Arial"/>
        </w:rPr>
        <w:t xml:space="preserve">trolling Shareholders of their rights with respect to 105,000,000 shares of common stock subject to such preemptive rights offering and the exercise of 50% of the remaining preemptive subscription rights) :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5745"/>
        <w:gridCol w:w="351"/>
        <w:gridCol w:w="146"/>
        <w:gridCol w:w="655"/>
        <w:gridCol w:w="112"/>
        <w:gridCol w:w="351"/>
        <w:gridCol w:w="186"/>
        <w:gridCol w:w="648"/>
        <w:gridCol w:w="112"/>
      </w:tblGrid>
      <w:tr w:rsidR="00000000">
        <w:trPr>
          <w:jc w:val="center"/>
        </w:trPr>
        <w:tc>
          <w:tcPr>
            <w:tcW w:w="4100" w:type="pct"/>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Per ADS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Per</w:t>
            </w:r>
            <w:r>
              <w:rPr>
                <w:rFonts w:ascii="Arial" w:eastAsia="Times New Roman" w:hAnsi="Arial" w:cs="Arial"/>
                <w:b/>
                <w:bCs/>
              </w:rPr>
              <w:br/>
              <w:t>common</w:t>
            </w:r>
            <w:r>
              <w:rPr>
                <w:rFonts w:ascii="Arial" w:eastAsia="Times New Roman" w:hAnsi="Arial" w:cs="Arial"/>
                <w:b/>
                <w:bCs/>
              </w:rPr>
              <w:br/>
              <w:t>share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Assumed public offering price(1)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Actual net tangible book value as of March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net tangible book value after giving effect to the global offering (no exercise of the international underwriters_ over-allotment option)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Adjusted net tangible book value after giving effect to the global offering (full exercise of the international underwriters_ over-allotment option)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Dilution in net tangible book value to new investors in the global offering (no exercise of the international underwriters_ over-allotment option)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Dilution in net tangible book value to new investors in the global offering (full exercise of the international underwriters_ over-allotment option)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Assumed public offering price is calculated using the last reported sale price of the shares on the Santiago Stock Exchange on June 7, 2012 of Ch$2,774.80 with an exchange rate of Ch$501.74 per US$1.00 on such date.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- 80 - </w:t>
      </w:r>
    </w:p>
    <w:p w:rsidR="00000000" w:rsidRDefault="003E5AFF">
      <w:pPr>
        <w:rPr>
          <w:rFonts w:eastAsia="Times New Roman" w:cs="Times New Roman"/>
        </w:rPr>
      </w:pPr>
      <w:r>
        <w:rPr>
          <w:rFonts w:eastAsia="Times New Roman" w:cs="Times New Roman"/>
        </w:rPr>
        <w:pict>
          <v:rect id="_x0000_i1114" style="width:441.9pt;height:3pt" o:hralign="center" o:hrstd="t" o:hrnoshade="t" o:hr="t" fillcolor="#999" stroked="f"/>
        </w:pict>
      </w:r>
    </w:p>
    <w:p w:rsidR="00000000" w:rsidRDefault="003E5AFF">
      <w:pPr>
        <w:pStyle w:val="Heading5"/>
        <w:rPr>
          <w:rFonts w:eastAsia="Times New Roman" w:cs="Times New Roman"/>
        </w:rPr>
      </w:pPr>
      <w:hyperlink r:id="rId131"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jc w:val="center"/>
      </w:pPr>
      <w:bookmarkStart w:id="13" w:name="rom343004_12"/>
      <w:bookmarkEnd w:id="13"/>
      <w:r>
        <w:rPr>
          <w:rFonts w:ascii="Arial" w:hAnsi="Arial" w:cs="Arial"/>
          <w:b/>
          <w:bCs/>
          <w:sz w:val="36"/>
          <w:szCs w:val="36"/>
        </w:rPr>
        <w:t xml:space="preserve">Preemptive rights offering </w:t>
      </w:r>
    </w:p>
    <w:p w:rsidR="00000000" w:rsidRDefault="003E5AFF">
      <w:pPr>
        <w:pStyle w:val="NormalWeb"/>
        <w:spacing w:before="120" w:beforeAutospacing="0" w:after="0" w:afterAutospacing="0"/>
      </w:pPr>
      <w:r>
        <w:rPr>
          <w:rFonts w:ascii="Arial" w:hAnsi="Arial" w:cs="Arial"/>
        </w:rPr>
        <w:t>The Chilean Corporations Law provides that, whenever a Chilean company issues new shares for cash, it must conduct a preemptive rights offering to its existing shareholders (including shares represented by ADSs) giv</w:t>
      </w:r>
      <w:r>
        <w:rPr>
          <w:rFonts w:ascii="Arial" w:hAnsi="Arial" w:cs="Arial"/>
        </w:rPr>
        <w:t>ing them the right to purchase a sufficient number of shares to maintain their existing ownership percentages in the Company. The shareholders will be entitled to subscribe for and purchase newly issued shares in proportion to their ownership interest in t</w:t>
      </w:r>
      <w:r>
        <w:rPr>
          <w:rFonts w:ascii="Arial" w:hAnsi="Arial" w:cs="Arial"/>
        </w:rPr>
        <w:t>he Company as registered in the shareholders_ registry five Chilean business days (including Saturday for this purpose) prior to the commencement of the preemptive rights offering. The preemptive rights offering shall commence on the date of publication in</w:t>
      </w:r>
      <w:r>
        <w:rPr>
          <w:rFonts w:ascii="Arial" w:hAnsi="Arial" w:cs="Arial"/>
        </w:rPr>
        <w:t xml:space="preserve"> a local newspaper of the notice required under article 29 of the Corporations Regulations and must remain open for at least 30 days. In addition to this notice and at least five days prior to the publication of the commencement of the preemptive rights of</w:t>
      </w:r>
      <w:r>
        <w:rPr>
          <w:rFonts w:ascii="Arial" w:hAnsi="Arial" w:cs="Arial"/>
        </w:rPr>
        <w:t xml:space="preserve">fer (but no more than 20 days), the Company must also publish an advertisement announcing to the shareholders that they will be granted preemptive rights. </w:t>
      </w:r>
    </w:p>
    <w:p w:rsidR="00000000" w:rsidRDefault="003E5AFF">
      <w:pPr>
        <w:pStyle w:val="NormalWeb"/>
        <w:spacing w:before="120" w:beforeAutospacing="0" w:after="0" w:afterAutospacing="0"/>
      </w:pPr>
      <w:r>
        <w:rPr>
          <w:rFonts w:ascii="Arial" w:hAnsi="Arial" w:cs="Arial"/>
        </w:rPr>
        <w:t>Within the aforementioned 30 days offering term, existing shareholders are entitled to (i) exercise,</w:t>
      </w:r>
      <w:r>
        <w:rPr>
          <w:rFonts w:ascii="Arial" w:hAnsi="Arial" w:cs="Arial"/>
        </w:rPr>
        <w:t xml:space="preserve"> in whole or in part, their preemptive rights, subscribing for the newly issued shares of in proportion to their ownership interest in the Company; (ii) waive their rights to subscribe for newly issued shares pursuant to the preemptive rights offering; or </w:t>
      </w:r>
      <w:r>
        <w:rPr>
          <w:rFonts w:ascii="Arial" w:hAnsi="Arial" w:cs="Arial"/>
        </w:rPr>
        <w:t>(iii) assign their preemptive rights to a third party (whether an existing shareholder or not). Should any shareholder not exercise any of the options above referred within the 30 days offering term, such shareholder shall be deemed to have waived his or h</w:t>
      </w:r>
      <w:r>
        <w:rPr>
          <w:rFonts w:ascii="Arial" w:hAnsi="Arial" w:cs="Arial"/>
        </w:rPr>
        <w:t xml:space="preserve">er preemptive rights. </w:t>
      </w:r>
    </w:p>
    <w:p w:rsidR="00000000" w:rsidRDefault="003E5AFF">
      <w:pPr>
        <w:pStyle w:val="NormalWeb"/>
        <w:spacing w:before="120" w:beforeAutospacing="0" w:after="0" w:afterAutospacing="0"/>
      </w:pPr>
      <w:r>
        <w:rPr>
          <w:rFonts w:ascii="Arial" w:hAnsi="Arial" w:cs="Arial"/>
        </w:rPr>
        <w:t>Within such 30-day period, Chilean companies are not permitted to offer any newly issued shares for sale to third parties (except for shares as to which preemptive rights have been waived). For an additional 30-day period thereafter,</w:t>
      </w:r>
      <w:r>
        <w:rPr>
          <w:rFonts w:ascii="Arial" w:hAnsi="Arial" w:cs="Arial"/>
        </w:rPr>
        <w:t xml:space="preserve"> Chilean companies are not permitted to offer any unsubscribed shares or convertible debentures for sale to third parties on at a lower cost or in terms which are more favorable than those offered to their shareholders. Thereafter, such unsubscribed shares</w:t>
      </w:r>
      <w:r>
        <w:rPr>
          <w:rFonts w:ascii="Arial" w:hAnsi="Arial" w:cs="Arial"/>
        </w:rPr>
        <w:t xml:space="preserve"> or convertible debentures may be offered through any Chilean Stock Exchange without any limitation on price. In our case, however, the sale of our shares of common stock during such subsequent 30-day periods would also be subject to our lock-up agreement </w:t>
      </w:r>
      <w:r>
        <w:rPr>
          <w:rFonts w:ascii="Arial" w:hAnsi="Arial" w:cs="Arial"/>
        </w:rPr>
        <w:t xml:space="preserve">with the international underwriters. See _Underwriting_ elsewhere in this prospectus. </w:t>
      </w:r>
    </w:p>
    <w:p w:rsidR="00000000" w:rsidRDefault="003E5AFF">
      <w:pPr>
        <w:pStyle w:val="NormalWeb"/>
        <w:spacing w:before="120" w:beforeAutospacing="0" w:after="0" w:afterAutospacing="0"/>
      </w:pPr>
      <w:r>
        <w:rPr>
          <w:rFonts w:ascii="Arial" w:hAnsi="Arial" w:cs="Arial"/>
        </w:rPr>
        <w:t xml:space="preserve">Should an existing shareholder that owns (directly or through other individuals or legal entities) 10% or more of the issued and outstanding shares of the Company, sell </w:t>
      </w:r>
      <w:r>
        <w:rPr>
          <w:rFonts w:ascii="Arial" w:hAnsi="Arial" w:cs="Arial"/>
        </w:rPr>
        <w:t xml:space="preserve">(assign) preemptive rights to subscribe for newly issued shares, such transaction shall be reported to the SVS and stock exchanges where the Company_s securities are registered for trading, the next day following the execution of the transaction, by means </w:t>
      </w:r>
      <w:r>
        <w:rPr>
          <w:rFonts w:ascii="Arial" w:hAnsi="Arial" w:cs="Arial"/>
        </w:rPr>
        <w:t xml:space="preserve">of the SVS_s electronic system. The same reporting duty shall be fulfilled by our directors, liquidators, senior executives and managers, regardless of the number of our shares they hold. </w:t>
      </w:r>
    </w:p>
    <w:p w:rsidR="00000000" w:rsidRDefault="003E5AFF">
      <w:pPr>
        <w:pStyle w:val="NormalWeb"/>
        <w:spacing w:before="120" w:beforeAutospacing="0" w:after="0" w:afterAutospacing="0"/>
      </w:pPr>
      <w:r>
        <w:rPr>
          <w:rFonts w:ascii="Arial" w:hAnsi="Arial" w:cs="Arial"/>
        </w:rPr>
        <w:t>Likewise, the exercise by an existing shareholder that owns (direct</w:t>
      </w:r>
      <w:r>
        <w:rPr>
          <w:rFonts w:ascii="Arial" w:hAnsi="Arial" w:cs="Arial"/>
        </w:rPr>
        <w:t>ly or through other individuals or legal entities) 10% or more of our shares of common stock of his or her preemptive rights to subscribe for newly issued shares, shall also be reported to the SVS and stock exchanges where the Company_s securities are regi</w:t>
      </w:r>
      <w:r>
        <w:rPr>
          <w:rFonts w:ascii="Arial" w:hAnsi="Arial" w:cs="Arial"/>
        </w:rPr>
        <w:t xml:space="preserve">stered for trading. Reporting should occur on the day following the execution of the transaction, by means of the SVS_s electronic system. The same reporting duty shall be fulfilled by our directors, liquidators, senior executives and managers, regardless </w:t>
      </w:r>
      <w:r>
        <w:rPr>
          <w:rFonts w:ascii="Arial" w:hAnsi="Arial" w:cs="Arial"/>
        </w:rPr>
        <w:t xml:space="preserve">of the number of our shares they hold.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- 81 - </w:t>
      </w:r>
    </w:p>
    <w:p w:rsidR="00000000" w:rsidRDefault="003E5AFF">
      <w:pPr>
        <w:rPr>
          <w:rFonts w:eastAsia="Times New Roman" w:cs="Times New Roman"/>
        </w:rPr>
      </w:pPr>
      <w:r>
        <w:rPr>
          <w:rFonts w:eastAsia="Times New Roman" w:cs="Times New Roman"/>
        </w:rPr>
        <w:pict>
          <v:rect id="_x0000_i1115" style="width:441.9pt;height:3pt" o:hralign="center" o:hrstd="t" o:hrnoshade="t" o:hr="t" fillcolor="#999" stroked="f"/>
        </w:pict>
      </w:r>
    </w:p>
    <w:p w:rsidR="00000000" w:rsidRDefault="003E5AFF">
      <w:pPr>
        <w:pStyle w:val="Heading5"/>
        <w:rPr>
          <w:rFonts w:eastAsia="Times New Roman" w:cs="Times New Roman"/>
        </w:rPr>
      </w:pPr>
      <w:hyperlink r:id="rId13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On April 29, 2011, our shareholders adopted a resolution to increase our capital by 270,000,000 shares of our common stock, equivalent </w:t>
      </w:r>
      <w:r>
        <w:rPr>
          <w:rFonts w:ascii="Arial" w:hAnsi="Arial" w:cs="Arial"/>
        </w:rPr>
        <w:t>to 90,000,000 ADSs, of which 27,000,000 shares, or 10% of the capital increase, have been reserved for our employee stock option plan. In connection with the capital increase, we are required by Chilean law to make a preemptive rights offering to our exist</w:t>
      </w:r>
      <w:r>
        <w:rPr>
          <w:rFonts w:ascii="Arial" w:hAnsi="Arial" w:cs="Arial"/>
        </w:rPr>
        <w:t>ing shareholders. In the preemptive rights offering, we will be offering holders of shares of our common stock the right to subscribe for newly issued shares of common stock in proportion to their holdings of shares of common stock as registered on the fif</w:t>
      </w:r>
      <w:r>
        <w:rPr>
          <w:rFonts w:ascii="Arial" w:hAnsi="Arial" w:cs="Arial"/>
        </w:rPr>
        <w:t xml:space="preserve">th Chilean business day (including Saturday for this purpose) prior to the commencement of the preemptive rights offering. </w:t>
      </w:r>
    </w:p>
    <w:p w:rsidR="00000000" w:rsidRDefault="003E5AFF">
      <w:pPr>
        <w:pStyle w:val="NormalWeb"/>
        <w:spacing w:before="120" w:beforeAutospacing="0" w:after="0" w:afterAutospacing="0"/>
      </w:pPr>
      <w:r>
        <w:rPr>
          <w:rFonts w:ascii="Arial" w:hAnsi="Arial" w:cs="Arial"/>
        </w:rPr>
        <w:t>In order to make shares available for sale in the global offering, our Controlling Shareholders, whom collectively hold approximatel</w:t>
      </w:r>
      <w:r>
        <w:rPr>
          <w:rFonts w:ascii="Arial" w:hAnsi="Arial" w:cs="Arial"/>
        </w:rPr>
        <w:t>y 64.9% of our outstanding shares, have indicated their intention to waive their rights with respect to shares of our common stock subject to such preemptive rights offering. However our Controlling Shareholders are not obligated to so waive. Nevertheless,</w:t>
      </w:r>
      <w:r>
        <w:rPr>
          <w:rFonts w:ascii="Arial" w:hAnsi="Arial" w:cs="Arial"/>
        </w:rPr>
        <w:t xml:space="preserve"> the signing of the international underwriting agreement in respect of the international offering is conditioned on such waiver. Accordingly, the number of shares available in the global offering is contingent upon the waiver by our Controlling Shareholder</w:t>
      </w:r>
      <w:r>
        <w:rPr>
          <w:rFonts w:ascii="Arial" w:hAnsi="Arial" w:cs="Arial"/>
        </w:rPr>
        <w:t xml:space="preserve">s of their rights with respect to such shares that are subject to the preemptive rights offering. </w:t>
      </w:r>
    </w:p>
    <w:p w:rsidR="00000000" w:rsidRDefault="003E5AFF">
      <w:pPr>
        <w:pStyle w:val="NormalWeb"/>
        <w:spacing w:before="120" w:beforeAutospacing="0" w:after="0" w:afterAutospacing="0"/>
      </w:pPr>
      <w:r>
        <w:rPr>
          <w:rFonts w:ascii="Arial" w:hAnsi="Arial" w:cs="Arial"/>
        </w:rPr>
        <w:t>The Company plans to commence the global offering prior to the commencement of the preemptive rights offering. The preemptive rights offering is currently ex</w:t>
      </w:r>
      <w:r>
        <w:rPr>
          <w:rFonts w:ascii="Arial" w:hAnsi="Arial" w:cs="Arial"/>
        </w:rPr>
        <w:t xml:space="preserve">pected to commence on the day following the pricing date for the global offering and end 30 days thereafter. </w:t>
      </w:r>
    </w:p>
    <w:p w:rsidR="00000000" w:rsidRDefault="003E5AFF">
      <w:pPr>
        <w:pStyle w:val="NormalWeb"/>
        <w:spacing w:before="120" w:beforeAutospacing="0" w:after="0" w:afterAutospacing="0"/>
      </w:pPr>
      <w:r>
        <w:rPr>
          <w:rFonts w:ascii="Arial" w:hAnsi="Arial" w:cs="Arial"/>
        </w:rPr>
        <w:t>The price at which our shares of common stock will be offered in the preemptive rights offering will be the same as the price at which shares of c</w:t>
      </w:r>
      <w:r>
        <w:rPr>
          <w:rFonts w:ascii="Arial" w:hAnsi="Arial" w:cs="Arial"/>
        </w:rPr>
        <w:t xml:space="preserve">ommon stock, in the form of shares, are being offered in the Chilean offering concurrent with the global offering. </w:t>
      </w:r>
    </w:p>
    <w:p w:rsidR="00000000" w:rsidRDefault="003E5AFF">
      <w:pPr>
        <w:pStyle w:val="NormalWeb"/>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- 82 - </w:t>
      </w:r>
    </w:p>
    <w:p w:rsidR="00000000" w:rsidRDefault="003E5AFF">
      <w:pPr>
        <w:rPr>
          <w:rFonts w:eastAsia="Times New Roman" w:cs="Times New Roman"/>
        </w:rPr>
      </w:pPr>
      <w:r>
        <w:rPr>
          <w:rFonts w:eastAsia="Times New Roman" w:cs="Times New Roman"/>
        </w:rPr>
        <w:pict>
          <v:rect id="_x0000_i1116" style="width:441.9pt;height:3pt" o:hralign="center" o:hrstd="t" o:hrnoshade="t" o:hr="t" fillcolor="#999" stroked="f"/>
        </w:pict>
      </w:r>
    </w:p>
    <w:p w:rsidR="00000000" w:rsidRDefault="003E5AFF">
      <w:pPr>
        <w:pStyle w:val="Heading5"/>
        <w:rPr>
          <w:rFonts w:eastAsia="Times New Roman" w:cs="Times New Roman"/>
        </w:rPr>
      </w:pPr>
      <w:hyperlink r:id="rId13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4" w:name="rom343004_13"/>
      <w:bookmarkEnd w:id="14"/>
      <w:r>
        <w:rPr>
          <w:rFonts w:ascii="Arial" w:hAnsi="Arial" w:cs="Arial"/>
          <w:b/>
          <w:bCs/>
          <w:sz w:val="36"/>
          <w:szCs w:val="36"/>
        </w:rPr>
        <w:t xml:space="preserve">Order book auction </w:t>
      </w:r>
    </w:p>
    <w:p w:rsidR="00000000" w:rsidRDefault="003E5AFF">
      <w:pPr>
        <w:pStyle w:val="NormalWeb"/>
        <w:spacing w:before="120" w:beforeAutospacing="0" w:after="0" w:afterAutospacing="0"/>
      </w:pPr>
      <w:r>
        <w:rPr>
          <w:rFonts w:ascii="Arial" w:hAnsi="Arial" w:cs="Arial"/>
        </w:rPr>
        <w:t xml:space="preserve">The shares of common stock will be sold initially through an order book auction on the Santiago Stock Exchange in a process known as </w:t>
      </w:r>
      <w:r>
        <w:rPr>
          <w:rFonts w:ascii="Arial" w:hAnsi="Arial" w:cs="Arial"/>
          <w:i/>
          <w:iCs/>
        </w:rPr>
        <w:t>subasta de un libro de _rdenes</w:t>
      </w:r>
      <w:r>
        <w:rPr>
          <w:rFonts w:ascii="Arial" w:hAnsi="Arial" w:cs="Arial"/>
        </w:rPr>
        <w:t xml:space="preserve"> (a _</w:t>
      </w:r>
      <w:r>
        <w:rPr>
          <w:rFonts w:ascii="Arial" w:hAnsi="Arial" w:cs="Arial"/>
          <w:i/>
          <w:iCs/>
        </w:rPr>
        <w:t>subasta</w:t>
      </w:r>
      <w:r>
        <w:rPr>
          <w:rFonts w:ascii="Arial" w:hAnsi="Arial" w:cs="Arial"/>
        </w:rPr>
        <w:t xml:space="preserve">_), in compliance with Chilean law and the rules of the Santiago Stock Exchange. </w:t>
      </w:r>
      <w:r>
        <w:rPr>
          <w:rFonts w:ascii="Arial" w:hAnsi="Arial" w:cs="Arial"/>
        </w:rPr>
        <w:t xml:space="preserve">All orders of shares of common stock made by prospective purchasers, including by the international underwriters for purposes of the international offering, must be placed through an authorized Chilean broker under Chilean law, as further described below. </w:t>
      </w:r>
      <w:r>
        <w:rPr>
          <w:rFonts w:ascii="Arial" w:hAnsi="Arial" w:cs="Arial"/>
        </w:rPr>
        <w:t xml:space="preserve">The shares of common stock awarded to the international underwriters in the </w:t>
      </w:r>
      <w:r>
        <w:rPr>
          <w:rFonts w:ascii="Arial" w:hAnsi="Arial" w:cs="Arial"/>
          <w:i/>
          <w:iCs/>
        </w:rPr>
        <w:t xml:space="preserve">subasta </w:t>
      </w:r>
      <w:r>
        <w:rPr>
          <w:rFonts w:ascii="Arial" w:hAnsi="Arial" w:cs="Arial"/>
        </w:rPr>
        <w:t xml:space="preserve">will be eligible for deposit in our ADR facility, subject to the terms of our Deposit Agreement, pursuant to which the ADRs will be issued. See _Underwriting._ </w:t>
      </w:r>
    </w:p>
    <w:p w:rsidR="00000000" w:rsidRDefault="003E5AFF">
      <w:pPr>
        <w:pStyle w:val="NormalWeb"/>
        <w:spacing w:before="120" w:beforeAutospacing="0" w:after="0" w:afterAutospacing="0"/>
      </w:pPr>
      <w:r>
        <w:rPr>
          <w:rFonts w:ascii="Arial" w:hAnsi="Arial" w:cs="Arial"/>
        </w:rPr>
        <w:t>Sales of la</w:t>
      </w:r>
      <w:r>
        <w:rPr>
          <w:rFonts w:ascii="Arial" w:hAnsi="Arial" w:cs="Arial"/>
        </w:rPr>
        <w:t>rge blocks of shares in the Stock Exchange are normally conducted in one block through a s</w:t>
      </w:r>
      <w:r>
        <w:rPr>
          <w:rFonts w:ascii="Arial" w:hAnsi="Arial" w:cs="Arial"/>
          <w:i/>
          <w:iCs/>
        </w:rPr>
        <w:t>ubasta.</w:t>
      </w:r>
      <w:r>
        <w:rPr>
          <w:rFonts w:ascii="Arial" w:hAnsi="Arial" w:cs="Arial"/>
        </w:rPr>
        <w:t xml:space="preserve"> This auction procedure sorts purchase orders by price in descending order and awards the offered shares, at a single price, to the cumulative demand that sati</w:t>
      </w:r>
      <w:r>
        <w:rPr>
          <w:rFonts w:ascii="Arial" w:hAnsi="Arial" w:cs="Arial"/>
        </w:rPr>
        <w:t xml:space="preserve">sfies the conditions set forth in advance by the seller. </w:t>
      </w:r>
    </w:p>
    <w:p w:rsidR="00000000" w:rsidRDefault="003E5AFF">
      <w:pPr>
        <w:pStyle w:val="NormalWeb"/>
        <w:spacing w:before="120" w:beforeAutospacing="0" w:after="0" w:afterAutospacing="0"/>
      </w:pPr>
      <w:r>
        <w:rPr>
          <w:rFonts w:ascii="Arial" w:hAnsi="Arial" w:cs="Arial"/>
        </w:rPr>
        <w:t>The terms and conditions of the offer are set forth by the seller acting through a stock broker. Larrain Vial S.A. Corredora de Bolsa will serve as the stock broker in connection with the auction of</w:t>
      </w:r>
      <w:r>
        <w:rPr>
          <w:rFonts w:ascii="Arial" w:hAnsi="Arial" w:cs="Arial"/>
        </w:rPr>
        <w:t xml:space="preserve"> our shares of common stock in the contemplated </w:t>
      </w:r>
      <w:r>
        <w:rPr>
          <w:rFonts w:ascii="Arial" w:hAnsi="Arial" w:cs="Arial"/>
          <w:i/>
          <w:iCs/>
        </w:rPr>
        <w:t>subasta</w:t>
      </w:r>
      <w:r>
        <w:rPr>
          <w:rFonts w:ascii="Arial" w:hAnsi="Arial" w:cs="Arial"/>
        </w:rPr>
        <w:t>. These conditions may include a minimum price and the creation of specific demand segments based on objective criteria (e.g. type of investors and order size). All the purchase orders entered into the</w:t>
      </w:r>
      <w:r>
        <w:rPr>
          <w:rFonts w:ascii="Arial" w:hAnsi="Arial" w:cs="Arial"/>
        </w:rPr>
        <w:t xml:space="preserve"> system are compiled by the Stock Exchange in a single cumulative order book, which will be delivered to the stock broker designated by the seller. Based on such order book, the stock broker will determine whether the offer was successful or not. The offer</w:t>
      </w:r>
      <w:r>
        <w:rPr>
          <w:rFonts w:ascii="Arial" w:hAnsi="Arial" w:cs="Arial"/>
        </w:rPr>
        <w:t xml:space="preserve"> must be declared successful if the competitive demand (i.e., orders with a price equal to or above the minimum price (if there is one)) plus the demand at market exceeds the number of shares offered and complies with the conditions established for each of</w:t>
      </w:r>
      <w:r>
        <w:rPr>
          <w:rFonts w:ascii="Arial" w:hAnsi="Arial" w:cs="Arial"/>
        </w:rPr>
        <w:t xml:space="preserve"> the segments. </w:t>
      </w:r>
    </w:p>
    <w:p w:rsidR="00000000" w:rsidRDefault="003E5AFF">
      <w:pPr>
        <w:pStyle w:val="NormalWeb"/>
        <w:spacing w:before="120" w:beforeAutospacing="0" w:after="0" w:afterAutospacing="0"/>
      </w:pPr>
      <w:r>
        <w:rPr>
          <w:rFonts w:ascii="Arial" w:hAnsi="Arial" w:cs="Arial"/>
        </w:rPr>
        <w:t xml:space="preserve">If the offer is declared successful and includes different demand segments, the offer price cannot be set more lower than 10% of the price at which cumulative competitive demand (i.e., all orders with a price, regardless of demand segment, </w:t>
      </w:r>
      <w:r>
        <w:rPr>
          <w:rFonts w:ascii="Arial" w:hAnsi="Arial" w:cs="Arial"/>
        </w:rPr>
        <w:t xml:space="preserve">sorted in descending order) is equal to the total shares offered. With the overall demand information received from the Santiago Stock Exchange, the stock broker together with the international underwriters and the local placement agents will make a price </w:t>
      </w:r>
      <w:r>
        <w:rPr>
          <w:rFonts w:ascii="Arial" w:hAnsi="Arial" w:cs="Arial"/>
        </w:rPr>
        <w:t xml:space="preserve">and allocation recommendation to the Company. Once the Company makes its determination with respect to price and allocation, the stock broker will inform the Santiago Stock Exchange of the offering price and the allocation of the offering among the demand </w:t>
      </w:r>
      <w:r>
        <w:rPr>
          <w:rFonts w:ascii="Arial" w:hAnsi="Arial" w:cs="Arial"/>
        </w:rPr>
        <w:t xml:space="preserve">segments. In the case that the offer does not include different demand segments, the stock broker will inform the Santiago Stock Exchange of the offering price. </w:t>
      </w:r>
    </w:p>
    <w:p w:rsidR="00000000" w:rsidRDefault="003E5AFF">
      <w:pPr>
        <w:pStyle w:val="NormalWeb"/>
        <w:spacing w:before="120" w:beforeAutospacing="0" w:after="0" w:afterAutospacing="0"/>
      </w:pPr>
      <w:r>
        <w:rPr>
          <w:rFonts w:ascii="Arial" w:hAnsi="Arial" w:cs="Arial"/>
        </w:rPr>
        <w:t>The offer is then allocated within the respective demand segments or segment among those order</w:t>
      </w:r>
      <w:r>
        <w:rPr>
          <w:rFonts w:ascii="Arial" w:hAnsi="Arial" w:cs="Arial"/>
        </w:rPr>
        <w:t>s that have a price equal or above the offer price and orders at market. On the day following the allocation, prior to the opening of the stock market in Chile, the Santiago Stock Exchange will formally award the offered shares through a special auction an</w:t>
      </w:r>
      <w:r>
        <w:rPr>
          <w:rFonts w:ascii="Arial" w:hAnsi="Arial" w:cs="Arial"/>
        </w:rPr>
        <w:t xml:space="preserve">d will communicate, through its systems, the final allocation of shares to all participating brokers. Once the shares have been formally awarded, the international underwriters will confirm orders to international investors based on the offering price and </w:t>
      </w:r>
      <w:r>
        <w:rPr>
          <w:rFonts w:ascii="Arial" w:hAnsi="Arial" w:cs="Arial"/>
        </w:rPr>
        <w:t xml:space="preserve">the number of shares awarded to the international underwriters in the </w:t>
      </w:r>
      <w:r>
        <w:rPr>
          <w:rFonts w:ascii="Arial" w:hAnsi="Arial" w:cs="Arial"/>
          <w:i/>
          <w:iCs/>
        </w:rPr>
        <w:t>subasta</w:t>
      </w:r>
      <w:r>
        <w:rPr>
          <w:rFonts w:ascii="Arial" w:hAnsi="Arial" w:cs="Arial"/>
        </w:rPr>
        <w:t xml:space="preserve">, which shares will be delivered in the form of ADSs.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- 83 - </w:t>
      </w:r>
    </w:p>
    <w:p w:rsidR="00000000" w:rsidRDefault="003E5AFF">
      <w:pPr>
        <w:rPr>
          <w:rFonts w:eastAsia="Times New Roman" w:cs="Times New Roman"/>
        </w:rPr>
      </w:pPr>
      <w:r>
        <w:rPr>
          <w:rFonts w:eastAsia="Times New Roman" w:cs="Times New Roman"/>
        </w:rPr>
        <w:pict>
          <v:rect id="_x0000_i1117" style="width:441.9pt;height:3pt" o:hralign="center" o:hrstd="t" o:hrnoshade="t" o:hr="t" fillcolor="#999" stroked="f"/>
        </w:pict>
      </w:r>
    </w:p>
    <w:p w:rsidR="00000000" w:rsidRDefault="003E5AFF">
      <w:pPr>
        <w:pStyle w:val="Heading5"/>
        <w:rPr>
          <w:rFonts w:eastAsia="Times New Roman" w:cs="Times New Roman"/>
        </w:rPr>
      </w:pPr>
      <w:hyperlink r:id="rId13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5" w:name="rom343004_14"/>
      <w:bookmarkEnd w:id="15"/>
      <w:r>
        <w:rPr>
          <w:rFonts w:ascii="Arial" w:hAnsi="Arial" w:cs="Arial"/>
          <w:b/>
          <w:bCs/>
          <w:sz w:val="36"/>
          <w:szCs w:val="36"/>
        </w:rPr>
        <w:t xml:space="preserve">Exchange rates </w:t>
      </w:r>
    </w:p>
    <w:p w:rsidR="00000000" w:rsidRDefault="003E5AFF">
      <w:pPr>
        <w:pStyle w:val="NormalWeb"/>
        <w:spacing w:before="120" w:beforeAutospacing="0" w:after="0" w:afterAutospacing="0"/>
      </w:pPr>
      <w:r>
        <w:rPr>
          <w:rFonts w:ascii="Arial" w:hAnsi="Arial" w:cs="Arial"/>
          <w:b/>
          <w:bCs/>
          <w:sz w:val="24"/>
          <w:szCs w:val="24"/>
        </w:rPr>
        <w:t xml:space="preserve">Chile </w:t>
      </w:r>
    </w:p>
    <w:p w:rsidR="00000000" w:rsidRDefault="003E5AFF">
      <w:pPr>
        <w:pStyle w:val="NormalWeb"/>
        <w:spacing w:before="120" w:beforeAutospacing="0" w:after="0" w:afterAutospacing="0"/>
      </w:pPr>
      <w:r>
        <w:rPr>
          <w:rFonts w:ascii="Arial" w:hAnsi="Arial" w:cs="Arial"/>
        </w:rPr>
        <w:t xml:space="preserve">Chile has two currency markets, the </w:t>
      </w:r>
      <w:r>
        <w:rPr>
          <w:rFonts w:ascii="Arial" w:hAnsi="Arial" w:cs="Arial"/>
          <w:i/>
          <w:iCs/>
        </w:rPr>
        <w:t xml:space="preserve">Mercado </w:t>
      </w:r>
      <w:r>
        <w:rPr>
          <w:rFonts w:ascii="Arial" w:hAnsi="Arial" w:cs="Arial"/>
          <w:i/>
          <w:iCs/>
        </w:rPr>
        <w:t>Cambiario Formal</w:t>
      </w:r>
      <w:r>
        <w:rPr>
          <w:rFonts w:ascii="Arial" w:hAnsi="Arial" w:cs="Arial"/>
        </w:rPr>
        <w:t xml:space="preserve"> (the _Formal Exchange Market_) and the </w:t>
      </w:r>
      <w:r>
        <w:rPr>
          <w:rFonts w:ascii="Arial" w:hAnsi="Arial" w:cs="Arial"/>
          <w:i/>
          <w:iCs/>
        </w:rPr>
        <w:t>Mercado Cambiario Informal</w:t>
      </w:r>
      <w:r>
        <w:rPr>
          <w:rFonts w:ascii="Arial" w:hAnsi="Arial" w:cs="Arial"/>
        </w:rPr>
        <w:t xml:space="preserve"> (the _Informal Exchange Market_). The Formal Exchange Market is comprised of banks and other entities authorized by the Chilean Central Bank. The Informal Exchange Market is</w:t>
      </w:r>
      <w:r>
        <w:rPr>
          <w:rFonts w:ascii="Arial" w:hAnsi="Arial" w:cs="Arial"/>
        </w:rPr>
        <w:t xml:space="preserve"> comprised of entities that are not expressly authorized to operate in the Formal Exchange Market, such as certain foreign exchange houses and travel agencies, among others. The Chilean Central Bank is empowered to require that certain purchases and sales </w:t>
      </w:r>
      <w:r>
        <w:rPr>
          <w:rFonts w:ascii="Arial" w:hAnsi="Arial" w:cs="Arial"/>
        </w:rPr>
        <w:t xml:space="preserve">of foreign currencies be carried out on the Formal Exchange Market. </w:t>
      </w:r>
    </w:p>
    <w:p w:rsidR="00000000" w:rsidRDefault="003E5AFF">
      <w:pPr>
        <w:pStyle w:val="NormalWeb"/>
        <w:spacing w:before="120" w:beforeAutospacing="0" w:after="0" w:afterAutospacing="0"/>
      </w:pPr>
      <w:r>
        <w:rPr>
          <w:rFonts w:ascii="Arial" w:hAnsi="Arial" w:cs="Arial"/>
        </w:rPr>
        <w:t>Both the Formal and Informal Exchange Markets are driven by free market forces. Current regulations require that the Chilean Central Bank be informed of certain transactions and that they</w:t>
      </w:r>
      <w:r>
        <w:rPr>
          <w:rFonts w:ascii="Arial" w:hAnsi="Arial" w:cs="Arial"/>
        </w:rPr>
        <w:t xml:space="preserve"> be effected through the Formal Exchange Market. </w:t>
      </w:r>
    </w:p>
    <w:p w:rsidR="00000000" w:rsidRDefault="003E5AFF">
      <w:pPr>
        <w:pStyle w:val="NormalWeb"/>
        <w:spacing w:before="120" w:beforeAutospacing="0" w:after="0" w:afterAutospacing="0"/>
      </w:pPr>
      <w:r>
        <w:rPr>
          <w:rFonts w:ascii="Arial" w:hAnsi="Arial" w:cs="Arial"/>
        </w:rPr>
        <w:t>The U.S. dollar observed exchange rate (</w:t>
      </w:r>
      <w:r>
        <w:rPr>
          <w:rFonts w:ascii="Arial" w:hAnsi="Arial" w:cs="Arial"/>
          <w:i/>
          <w:iCs/>
        </w:rPr>
        <w:t>d_lar observado</w:t>
      </w:r>
      <w:r>
        <w:rPr>
          <w:rFonts w:ascii="Arial" w:hAnsi="Arial" w:cs="Arial"/>
        </w:rPr>
        <w:t>), which is reported by the Chilean Central Bank and published daily in the Chilean newspapers, is the weighted average exchange rate of the previous b</w:t>
      </w:r>
      <w:r>
        <w:rPr>
          <w:rFonts w:ascii="Arial" w:hAnsi="Arial" w:cs="Arial"/>
        </w:rPr>
        <w:t>usiness day_s transactions in the Formal Exchange Market. The Chilean Central Bank has the power to intervene by buying or selling foreign currency on the Formal Exchange Market to attempt to maintain the observed exchange rate within a desired range. Duri</w:t>
      </w:r>
      <w:r>
        <w:rPr>
          <w:rFonts w:ascii="Arial" w:hAnsi="Arial" w:cs="Arial"/>
        </w:rPr>
        <w:t xml:space="preserve">ng the past few years the Chilean Central Bank has attempted to keep the observed exchange rate within a certain range only under special circumstances. Although the Chilean Central Bank is not required to purchase or sell dollars at any specific exchange </w:t>
      </w:r>
      <w:r>
        <w:rPr>
          <w:rFonts w:ascii="Arial" w:hAnsi="Arial" w:cs="Arial"/>
        </w:rPr>
        <w:t xml:space="preserve">rate, it generally uses spot rates for its transactions. Other banks generally carry out authorized transactions at spot rates as well. </w:t>
      </w:r>
    </w:p>
    <w:p w:rsidR="00000000" w:rsidRDefault="003E5AFF">
      <w:pPr>
        <w:pStyle w:val="NormalWeb"/>
        <w:spacing w:before="120" w:beforeAutospacing="0" w:after="0" w:afterAutospacing="0"/>
      </w:pPr>
      <w:r>
        <w:rPr>
          <w:rFonts w:ascii="Arial" w:hAnsi="Arial" w:cs="Arial"/>
        </w:rPr>
        <w:t>The Informal Exchange Market reflects transactions carried out at an informal exchange rate (the _informal exchange rat</w:t>
      </w:r>
      <w:r>
        <w:rPr>
          <w:rFonts w:ascii="Arial" w:hAnsi="Arial" w:cs="Arial"/>
        </w:rPr>
        <w:t>e_). There are no limits imposed on the extent to which the rate of exchange in the Informal Exchange Market can fluctuate above or below the observed exchange rate. In recent years, the variation between the observed exchange rate and the informal exchang</w:t>
      </w:r>
      <w:r>
        <w:rPr>
          <w:rFonts w:ascii="Arial" w:hAnsi="Arial" w:cs="Arial"/>
        </w:rPr>
        <w:t xml:space="preserve">e rate has not been significant. </w:t>
      </w:r>
    </w:p>
    <w:p w:rsidR="00000000" w:rsidRDefault="003E5AFF">
      <w:pPr>
        <w:pStyle w:val="NormalWeb"/>
        <w:spacing w:before="120" w:beforeAutospacing="0" w:after="0" w:afterAutospacing="0"/>
      </w:pPr>
      <w:r>
        <w:rPr>
          <w:rFonts w:ascii="Arial" w:hAnsi="Arial" w:cs="Arial"/>
        </w:rPr>
        <w:t>The following table sets forth the annual low, high, average and period end observed exchange rate for U.S. dollars for the periods presented, as reported by the Chilean Central Bank. The Federal Reserve Bank of New York d</w:t>
      </w:r>
      <w:r>
        <w:rPr>
          <w:rFonts w:ascii="Arial" w:hAnsi="Arial" w:cs="Arial"/>
        </w:rPr>
        <w:t xml:space="preserve">oes not report a noon buying rate for Chilean pesos.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705"/>
        <w:gridCol w:w="147"/>
        <w:gridCol w:w="60"/>
        <w:gridCol w:w="642"/>
        <w:gridCol w:w="147"/>
        <w:gridCol w:w="295"/>
        <w:gridCol w:w="59"/>
        <w:gridCol w:w="642"/>
        <w:gridCol w:w="296"/>
        <w:gridCol w:w="296"/>
        <w:gridCol w:w="87"/>
        <w:gridCol w:w="948"/>
        <w:gridCol w:w="296"/>
        <w:gridCol w:w="296"/>
        <w:gridCol w:w="108"/>
        <w:gridCol w:w="1170"/>
        <w:gridCol w:w="112"/>
      </w:tblGrid>
      <w:tr w:rsidR="00000000">
        <w:trPr>
          <w:jc w:val="center"/>
        </w:trPr>
        <w:tc>
          <w:tcPr>
            <w:tcW w:w="27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Daily observed exchange rate Ch$ per U.S.$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High(1)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Low(1)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Average(2)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Period end(3)</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Year ended December 31,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584.67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493.14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522.55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496.89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676.75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431.22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522.25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636.45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2009</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643.87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491.09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559.15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507.10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549.17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468.01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510.20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468.01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533.74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455.91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483.57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519.20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Month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November 30,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526.83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494.08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509.73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517.37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December 31,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522.62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508.67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517.26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519.20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January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518.20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485.35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499.96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488.75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February 29,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487.73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475.29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480.89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476.27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March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491.57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480.62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485.90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487.44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April 30,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489.64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482.17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485.87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484.87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May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517.91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482.12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497.70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517.91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June 1, 2012 through June 5,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519.69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515.58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518.29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515.58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- 84 - </w:t>
      </w:r>
    </w:p>
    <w:p w:rsidR="00000000" w:rsidRDefault="003E5AFF">
      <w:pPr>
        <w:rPr>
          <w:rFonts w:eastAsia="Times New Roman" w:cs="Times New Roman"/>
        </w:rPr>
      </w:pPr>
      <w:r>
        <w:rPr>
          <w:rFonts w:eastAsia="Times New Roman" w:cs="Times New Roman"/>
        </w:rPr>
        <w:pict>
          <v:rect id="_x0000_i1118" style="width:441.9pt;height:3pt" o:hralign="center" o:hrstd="t" o:hrnoshade="t" o:hr="t" fillcolor="#999" stroked="f"/>
        </w:pict>
      </w:r>
    </w:p>
    <w:p w:rsidR="00000000" w:rsidRDefault="003E5AFF">
      <w:pPr>
        <w:pStyle w:val="Heading5"/>
        <w:rPr>
          <w:rFonts w:eastAsia="Times New Roman" w:cs="Times New Roman"/>
        </w:rPr>
      </w:pPr>
      <w:hyperlink r:id="rId135"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Chilean Central Bank.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Exchange rates are the actual low and high, on a daily basis for each period</w:t>
            </w:r>
            <w:r>
              <w:rPr>
                <w:rFonts w:ascii="Arial" w:eastAsia="Times New Roman" w:hAnsi="Arial" w:cs="Arial"/>
                <w:b/>
                <w:bCs/>
                <w:sz w:val="15"/>
                <w:szCs w:val="15"/>
                <w:u w:val="single"/>
              </w:rPr>
              <w:t>.</w:t>
            </w:r>
            <w:r>
              <w:rPr>
                <w:rFonts w:ascii="Arial" w:eastAsia="Times New Roman" w:hAnsi="Arial" w:cs="Arial"/>
                <w:sz w:val="15"/>
                <w:szCs w:val="15"/>
              </w:rPr>
              <w:t xml:space="preserve">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The yearly average rate is calculated as the average of the exchange rates on the last day of each month during the period.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Each year period ends on December 31, and the respective period-end exchange rate is published by the Chilean Central Bank on the first business day of the following year. Each month period ends on the last calendar day of such month, and the respective pe</w:t>
            </w:r>
            <w:r>
              <w:rPr>
                <w:rFonts w:ascii="Arial" w:eastAsia="Times New Roman" w:hAnsi="Arial" w:cs="Arial"/>
                <w:sz w:val="15"/>
                <w:szCs w:val="15"/>
              </w:rPr>
              <w:t xml:space="preserve">riod end exchange rate is published by the Chilean Central Bank on the first business day of the following month. </w:t>
            </w:r>
          </w:p>
        </w:tc>
      </w:tr>
    </w:tbl>
    <w:p w:rsidR="00000000" w:rsidRDefault="003E5AFF">
      <w:pPr>
        <w:pStyle w:val="NormalWeb"/>
        <w:spacing w:before="240" w:beforeAutospacing="0" w:after="0" w:afterAutospacing="0"/>
      </w:pPr>
      <w:r>
        <w:rPr>
          <w:rFonts w:ascii="Arial" w:hAnsi="Arial" w:cs="Arial"/>
          <w:b/>
          <w:bCs/>
          <w:sz w:val="24"/>
          <w:szCs w:val="24"/>
        </w:rPr>
        <w:t xml:space="preserve">Argentina </w:t>
      </w:r>
    </w:p>
    <w:p w:rsidR="00000000" w:rsidRDefault="003E5AFF">
      <w:pPr>
        <w:pStyle w:val="NormalWeb"/>
        <w:spacing w:before="120" w:beforeAutospacing="0" w:after="0" w:afterAutospacing="0"/>
      </w:pPr>
      <w:r>
        <w:rPr>
          <w:rFonts w:ascii="Arial" w:hAnsi="Arial" w:cs="Arial"/>
        </w:rPr>
        <w:t>From April 1, 1991 until the end of 2001, the Convertibility Law No. 23,928 and Regulatory Decree No. 529/91 (together, the _Conve</w:t>
      </w:r>
      <w:r>
        <w:rPr>
          <w:rFonts w:ascii="Arial" w:hAnsi="Arial" w:cs="Arial"/>
        </w:rPr>
        <w:t>rtibility Law_) established a fixed exchange rate under which the Central Bank of Argentina was obliged to sell U.S. dollars at a fixed rate of one Argentine peso per U.S. dollar. On January 6, 2002, the Argentine Congress enacted the Public Emergency Law,</w:t>
      </w:r>
      <w:r>
        <w:rPr>
          <w:rFonts w:ascii="Arial" w:hAnsi="Arial" w:cs="Arial"/>
        </w:rPr>
        <w:t xml:space="preserve"> which suspended certain provisions of the Convertibility Law, including the fixed exchange rate of Ar$1.00 to U.S.$1.00, and granted the executive branch of the Argentine government the power to set the exchange rate between the Argentine peso and foreign</w:t>
      </w:r>
      <w:r>
        <w:rPr>
          <w:rFonts w:ascii="Arial" w:hAnsi="Arial" w:cs="Arial"/>
        </w:rPr>
        <w:t xml:space="preserve"> currencies and to issue regulations related to the foreign exchange market. Following a brief period during which the Argentine government established a temporary dual exchange rate system, pursuant to the Public Emergency Law, the Argentine peso has been</w:t>
      </w:r>
      <w:r>
        <w:rPr>
          <w:rFonts w:ascii="Arial" w:hAnsi="Arial" w:cs="Arial"/>
        </w:rPr>
        <w:t xml:space="preserve"> allowed to float freely against other currencies since February 2002. </w:t>
      </w:r>
    </w:p>
    <w:p w:rsidR="00000000" w:rsidRDefault="003E5AFF">
      <w:pPr>
        <w:pStyle w:val="NormalWeb"/>
        <w:spacing w:before="120" w:beforeAutospacing="0" w:after="0" w:afterAutospacing="0"/>
      </w:pPr>
      <w:r>
        <w:rPr>
          <w:rFonts w:ascii="Arial" w:hAnsi="Arial" w:cs="Arial"/>
        </w:rPr>
        <w:t xml:space="preserve">The following table sets forth the annual high, low, average and period-end exchange rates for the periods indicated, expressed in Argentine pesos per U.S. dollar and not adjusted for </w:t>
      </w:r>
      <w:r>
        <w:rPr>
          <w:rFonts w:ascii="Arial" w:hAnsi="Arial" w:cs="Arial"/>
        </w:rPr>
        <w:t xml:space="preserve">inflation. The Federal Reserve Bank of New York does not report a noon buying rate for Argentine pesos.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282"/>
        <w:gridCol w:w="212"/>
        <w:gridCol w:w="80"/>
        <w:gridCol w:w="697"/>
        <w:gridCol w:w="155"/>
        <w:gridCol w:w="264"/>
        <w:gridCol w:w="78"/>
        <w:gridCol w:w="695"/>
        <w:gridCol w:w="155"/>
        <w:gridCol w:w="211"/>
        <w:gridCol w:w="92"/>
        <w:gridCol w:w="820"/>
        <w:gridCol w:w="155"/>
        <w:gridCol w:w="264"/>
        <w:gridCol w:w="104"/>
        <w:gridCol w:w="930"/>
        <w:gridCol w:w="112"/>
      </w:tblGrid>
      <w:tr w:rsidR="00000000">
        <w:trPr>
          <w:jc w:val="center"/>
        </w:trPr>
        <w:tc>
          <w:tcPr>
            <w:tcW w:w="310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Daily observed exchange rate Ar$ per U.S.$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High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Low</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Averag</w:t>
            </w:r>
            <w:r>
              <w:rPr>
                <w:rFonts w:ascii="Arial" w:eastAsia="Times New Roman" w:hAnsi="Arial" w:cs="Arial"/>
                <w:b/>
                <w:bCs/>
              </w:rPr>
              <w:t>e</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Period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Year ended December 31,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2009</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Month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November 30,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December 31,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January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February 29,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March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April 30,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May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June 1, 2012 through June 5,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Central Bank of Argentina.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the daily average exchange rate during each of the relevant periods. </w:t>
            </w:r>
          </w:p>
        </w:tc>
      </w:tr>
    </w:tbl>
    <w:p w:rsidR="00000000" w:rsidRDefault="003E5AFF">
      <w:pPr>
        <w:pStyle w:val="NormalWeb"/>
        <w:spacing w:before="240" w:beforeAutospacing="0" w:after="0" w:afterAutospacing="0"/>
      </w:pPr>
      <w:r>
        <w:rPr>
          <w:rFonts w:ascii="Arial" w:hAnsi="Arial" w:cs="Arial"/>
          <w:b/>
          <w:bCs/>
          <w:sz w:val="24"/>
          <w:szCs w:val="24"/>
        </w:rPr>
        <w:t xml:space="preserve">Brazil </w:t>
      </w:r>
    </w:p>
    <w:p w:rsidR="00000000" w:rsidRDefault="003E5AFF">
      <w:pPr>
        <w:pStyle w:val="NormalWeb"/>
        <w:spacing w:before="120" w:beforeAutospacing="0" w:after="0" w:afterAutospacing="0"/>
      </w:pPr>
      <w:r>
        <w:rPr>
          <w:rFonts w:ascii="Arial" w:hAnsi="Arial" w:cs="Arial"/>
        </w:rPr>
        <w:t>The Central Bank of Brazil allows the real/U.S. dollar exchange rate to float freely and has intervened occasionally to control unstable fluctuations in foreign exchange rates. We cannot predict whether the Central Bank of Brazil or the Brazilian governmen</w:t>
      </w:r>
      <w:r>
        <w:rPr>
          <w:rFonts w:ascii="Arial" w:hAnsi="Arial" w:cs="Arial"/>
        </w:rPr>
        <w:t xml:space="preserve">t will continue to let the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- 85 - </w:t>
      </w:r>
    </w:p>
    <w:p w:rsidR="00000000" w:rsidRDefault="003E5AFF">
      <w:pPr>
        <w:rPr>
          <w:rFonts w:eastAsia="Times New Roman" w:cs="Times New Roman"/>
        </w:rPr>
      </w:pPr>
      <w:r>
        <w:rPr>
          <w:rFonts w:eastAsia="Times New Roman" w:cs="Times New Roman"/>
        </w:rPr>
        <w:pict>
          <v:rect id="_x0000_i1119" style="width:441.9pt;height:3pt" o:hralign="center" o:hrstd="t" o:hrnoshade="t" o:hr="t" fillcolor="#999" stroked="f"/>
        </w:pict>
      </w:r>
    </w:p>
    <w:p w:rsidR="00000000" w:rsidRDefault="003E5AFF">
      <w:pPr>
        <w:pStyle w:val="Heading5"/>
        <w:rPr>
          <w:rFonts w:eastAsia="Times New Roman" w:cs="Times New Roman"/>
        </w:rPr>
      </w:pPr>
      <w:hyperlink r:id="rId13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real float freely or will intervene in the exchange rate market through a currency band system or otherwise. The Brazilian real may depreciate or appreciate substantially against the U.S. dollar in the futur</w:t>
      </w:r>
      <w:r>
        <w:rPr>
          <w:rFonts w:ascii="Arial" w:hAnsi="Arial" w:cs="Arial"/>
        </w:rPr>
        <w:t xml:space="preserve">e. Exchange rate fluctuations may adversely affect our financial condition. </w:t>
      </w:r>
    </w:p>
    <w:p w:rsidR="00000000" w:rsidRDefault="003E5AFF">
      <w:pPr>
        <w:pStyle w:val="NormalWeb"/>
        <w:spacing w:before="120" w:beforeAutospacing="0" w:after="0" w:afterAutospacing="0"/>
      </w:pPr>
      <w:r>
        <w:rPr>
          <w:rFonts w:ascii="Arial" w:hAnsi="Arial" w:cs="Arial"/>
        </w:rPr>
        <w:t>Prior to March 14, 2005, under Brazilian regulations, foreign exchange transactions were carried out on either the commercial rate exchange market or the floating rate exchange ma</w:t>
      </w:r>
      <w:r>
        <w:rPr>
          <w:rFonts w:ascii="Arial" w:hAnsi="Arial" w:cs="Arial"/>
        </w:rPr>
        <w:t>rket. Rates in the two markets were generally the same. On March 14, 2005, the National Monetary Council of Brazil (</w:t>
      </w:r>
      <w:r>
        <w:rPr>
          <w:rFonts w:ascii="Arial" w:hAnsi="Arial" w:cs="Arial"/>
          <w:i/>
          <w:iCs/>
        </w:rPr>
        <w:t>Conselho Monet_rio Nacional</w:t>
      </w:r>
      <w:r>
        <w:rPr>
          <w:rFonts w:ascii="Arial" w:hAnsi="Arial" w:cs="Arial"/>
        </w:rPr>
        <w:t xml:space="preserve">) unified the two markets. </w:t>
      </w:r>
    </w:p>
    <w:p w:rsidR="00000000" w:rsidRDefault="003E5AFF">
      <w:pPr>
        <w:pStyle w:val="NormalWeb"/>
        <w:spacing w:before="120" w:beforeAutospacing="0" w:after="0" w:afterAutospacing="0"/>
      </w:pPr>
      <w:r>
        <w:rPr>
          <w:rFonts w:ascii="Arial" w:hAnsi="Arial" w:cs="Arial"/>
        </w:rPr>
        <w:t>The following table sets forth the exchange selling rates expressed in Brazilian reai</w:t>
      </w:r>
      <w:r>
        <w:rPr>
          <w:rFonts w:ascii="Arial" w:hAnsi="Arial" w:cs="Arial"/>
        </w:rPr>
        <w:t xml:space="preserve">s per U.S. dollar for the periods indicated, as reported by the Central Bank of Brazil through the Central Bank System (Sistema do Banco Central) using PTAX 800, option 5.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446"/>
        <w:gridCol w:w="162"/>
        <w:gridCol w:w="70"/>
        <w:gridCol w:w="752"/>
        <w:gridCol w:w="138"/>
        <w:gridCol w:w="161"/>
        <w:gridCol w:w="69"/>
        <w:gridCol w:w="752"/>
        <w:gridCol w:w="138"/>
        <w:gridCol w:w="161"/>
        <w:gridCol w:w="76"/>
        <w:gridCol w:w="825"/>
        <w:gridCol w:w="138"/>
        <w:gridCol w:w="161"/>
        <w:gridCol w:w="96"/>
        <w:gridCol w:w="1049"/>
        <w:gridCol w:w="112"/>
      </w:tblGrid>
      <w:tr w:rsidR="00000000">
        <w:trPr>
          <w:jc w:val="center"/>
        </w:trPr>
        <w:tc>
          <w:tcPr>
            <w:tcW w:w="32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Daily observed </w:t>
            </w:r>
            <w:r>
              <w:rPr>
                <w:rFonts w:ascii="Arial" w:eastAsia="Times New Roman" w:hAnsi="Arial" w:cs="Arial"/>
                <w:b/>
                <w:bCs/>
              </w:rPr>
              <w:t>exchange rate R$ per U.S.$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High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Low</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Average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Period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Year ended December 31,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2.1556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1.7325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1.7713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1.5593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1.8375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2.3370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2009</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2.4218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1.7024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1.9935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1.7412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1.8811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1.6554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1.6662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1.5345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1.6746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1.8758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Month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November 30,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1.8937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1.7270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1.7905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1.8109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December 31,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1.8758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1.8369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1.8758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January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1.8683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1.7389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1.7897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1.7391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February 29,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1.7376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1.7024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1.7184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1.7092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March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1.7953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1.8221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April 30,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1.8256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1.8548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May 31,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2.0816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1.9860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2.0223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June 1, 2012 through June 5,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2.0410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2.0266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2.0342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2.0266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Central Bank of Brazil.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the daily average exchange rate during each of the relevant periods. </w:t>
            </w:r>
          </w:p>
        </w:tc>
      </w:tr>
    </w:tbl>
    <w:p w:rsidR="00000000" w:rsidRDefault="003E5AFF">
      <w:pPr>
        <w:pStyle w:val="NormalWeb"/>
        <w:spacing w:before="240" w:beforeAutospacing="0" w:after="0" w:afterAutospacing="0"/>
      </w:pPr>
      <w:r>
        <w:rPr>
          <w:rFonts w:ascii="Arial" w:hAnsi="Arial" w:cs="Arial"/>
          <w:b/>
          <w:bCs/>
          <w:sz w:val="24"/>
          <w:szCs w:val="24"/>
        </w:rPr>
        <w:t xml:space="preserve">Peru </w:t>
      </w:r>
    </w:p>
    <w:p w:rsidR="00000000" w:rsidRDefault="003E5AFF">
      <w:pPr>
        <w:pStyle w:val="NormalWeb"/>
        <w:spacing w:before="120" w:beforeAutospacing="0" w:after="0" w:afterAutospacing="0"/>
      </w:pPr>
      <w:r>
        <w:rPr>
          <w:rFonts w:ascii="Arial" w:hAnsi="Arial" w:cs="Arial"/>
        </w:rPr>
        <w:t>Currently, Peruvian law does not impose any restrictions on the ability of companies having operations in Peru to transfer foreign currencies from Peru to other countrie</w:t>
      </w:r>
      <w:r>
        <w:rPr>
          <w:rFonts w:ascii="Arial" w:hAnsi="Arial" w:cs="Arial"/>
        </w:rPr>
        <w:t xml:space="preserve">s, to convert nuevos soles into any foreign currency or to convert any foreign currency into nuevos soles. Companies may freely remit interest and principal payments abroad and investors may repatriate capital from liquidated investments. We cannot assure </w:t>
      </w:r>
      <w:r>
        <w:rPr>
          <w:rFonts w:ascii="Arial" w:hAnsi="Arial" w:cs="Arial"/>
        </w:rPr>
        <w:t xml:space="preserve">you, however, that Peruvian law will continue to permit such payments, transfers, conversions or remittances without restrictions. Exchange rates for the Peruvian nuevo sol have been relatively stable in recent years.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- 86 - </w:t>
      </w:r>
    </w:p>
    <w:p w:rsidR="00000000" w:rsidRDefault="003E5AFF">
      <w:pPr>
        <w:rPr>
          <w:rFonts w:eastAsia="Times New Roman" w:cs="Times New Roman"/>
        </w:rPr>
      </w:pPr>
      <w:r>
        <w:rPr>
          <w:rFonts w:eastAsia="Times New Roman" w:cs="Times New Roman"/>
        </w:rPr>
        <w:pict>
          <v:rect id="_x0000_i1120" style="width:441.9pt;height:3pt" o:hralign="center" o:hrstd="t" o:hrnoshade="t" o:hr="t" fillcolor="#999" stroked="f"/>
        </w:pict>
      </w:r>
    </w:p>
    <w:p w:rsidR="00000000" w:rsidRDefault="003E5AFF">
      <w:pPr>
        <w:pStyle w:val="Heading5"/>
        <w:rPr>
          <w:rFonts w:eastAsia="Times New Roman" w:cs="Times New Roman"/>
        </w:rPr>
      </w:pPr>
      <w:hyperlink r:id="rId13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following table set</w:t>
      </w:r>
      <w:r>
        <w:rPr>
          <w:rFonts w:ascii="Arial" w:hAnsi="Arial" w:cs="Arial"/>
        </w:rPr>
        <w:t xml:space="preserve">s forth the Central Bank of Peru_s period-average and period-end buying rates for U.S. dollars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501"/>
        <w:gridCol w:w="166"/>
        <w:gridCol w:w="68"/>
        <w:gridCol w:w="741"/>
        <w:gridCol w:w="136"/>
        <w:gridCol w:w="166"/>
        <w:gridCol w:w="68"/>
        <w:gridCol w:w="741"/>
        <w:gridCol w:w="136"/>
        <w:gridCol w:w="166"/>
        <w:gridCol w:w="77"/>
        <w:gridCol w:w="835"/>
        <w:gridCol w:w="136"/>
        <w:gridCol w:w="223"/>
        <w:gridCol w:w="87"/>
        <w:gridCol w:w="947"/>
        <w:gridCol w:w="112"/>
      </w:tblGrid>
      <w:tr w:rsidR="00000000">
        <w:trPr>
          <w:jc w:val="center"/>
        </w:trPr>
        <w:tc>
          <w:tcPr>
            <w:tcW w:w="31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Daily observed exchange rate S/. per U.S.$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High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Low</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Averag</w:t>
            </w:r>
            <w:r>
              <w:rPr>
                <w:rFonts w:ascii="Arial" w:eastAsia="Times New Roman" w:hAnsi="Arial" w:cs="Arial"/>
                <w:b/>
                <w:bCs/>
              </w:rPr>
              <w:t>e</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Period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Year ended December 31,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3.2010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2.9670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3.1279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2.9950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3.1540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2.9238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3.1370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2009</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3.2580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2.8880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2.7860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2.8244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2.8320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2.7537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Month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October 31,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2.7313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November 30,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2.7120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2.7043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December 31,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January 31,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2.6880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2.6880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February 29,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2.6760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2.6828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2.6760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March 31,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2.6660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2.6660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April 30,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2.6670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2.6390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2.6564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2.6390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May 31,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2.7080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2.6350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2.6686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2.7080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June 1, 2012 through June 5,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Central Bank of Peru.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Calculated as the average of the month-end exchange rates during the relevant period. </w:t>
            </w:r>
          </w:p>
        </w:tc>
      </w:tr>
    </w:tbl>
    <w:p w:rsidR="00000000" w:rsidRDefault="003E5AFF">
      <w:pPr>
        <w:pStyle w:val="NormalWeb"/>
        <w:spacing w:before="240" w:beforeAutospacing="0" w:after="0" w:afterAutospacing="0"/>
      </w:pPr>
      <w:r>
        <w:rPr>
          <w:rFonts w:ascii="Arial" w:hAnsi="Arial" w:cs="Arial"/>
          <w:b/>
          <w:bCs/>
          <w:sz w:val="24"/>
          <w:szCs w:val="24"/>
        </w:rPr>
        <w:t xml:space="preserve">Colombia </w:t>
      </w:r>
    </w:p>
    <w:p w:rsidR="00000000" w:rsidRDefault="003E5AFF">
      <w:pPr>
        <w:pStyle w:val="NormalWeb"/>
        <w:spacing w:before="120" w:beforeAutospacing="0" w:after="0" w:afterAutospacing="0"/>
      </w:pPr>
      <w:r>
        <w:rPr>
          <w:rFonts w:ascii="Arial" w:hAnsi="Arial" w:cs="Arial"/>
        </w:rPr>
        <w:t>Since September 1999, the Central Bank of Colombia has allowed the Colombian peso to float freely, intervening only when there are steep variations in the Colombian peso_s value relative to the U.S. dollar. This intervention mechanism is only used to contr</w:t>
      </w:r>
      <w:r>
        <w:rPr>
          <w:rFonts w:ascii="Arial" w:hAnsi="Arial" w:cs="Arial"/>
        </w:rPr>
        <w:t xml:space="preserve">ol the international reserves of Colombia or in case the average of a specified rate (referred to as the _representative market rate_) for the preceding twenty days exceeds 5% of that day_s representative market rate. Upon the occurrence of such an event, </w:t>
      </w:r>
      <w:r>
        <w:rPr>
          <w:rFonts w:ascii="Arial" w:hAnsi="Arial" w:cs="Arial"/>
        </w:rPr>
        <w:t>the Central Bank of Colombia sells call options, whereby the purchaser is entitled to buy from the Central Bank of Colombia, on a future date, a specified amount of U.S. dollars at a pre-established exchange rate, thus reducing the volatility of the exchan</w:t>
      </w:r>
      <w:r>
        <w:rPr>
          <w:rFonts w:ascii="Arial" w:hAnsi="Arial" w:cs="Arial"/>
        </w:rPr>
        <w:t xml:space="preserve">ge rate. As of October 28, 2009, the call option mechanism can only be used to control the international reserves of Colombia. </w:t>
      </w:r>
    </w:p>
    <w:p w:rsidR="00000000" w:rsidRDefault="003E5AFF">
      <w:pPr>
        <w:pStyle w:val="NormalWeb"/>
        <w:spacing w:before="120" w:beforeAutospacing="0" w:after="0" w:afterAutospacing="0"/>
      </w:pPr>
      <w:r>
        <w:rPr>
          <w:rFonts w:ascii="Arial" w:hAnsi="Arial" w:cs="Arial"/>
        </w:rPr>
        <w:t xml:space="preserve">During 2004, 2005, 2006 and 2007, the Colombian peso appreciated against </w:t>
      </w:r>
      <w:r>
        <w:rPr>
          <w:rFonts w:ascii="Arial" w:hAnsi="Arial" w:cs="Arial"/>
        </w:rPr>
        <w:t>the U.S. dollar by 14%, 4%, 2%, 9.9%, respectively, depreciated by 11.4% in 2008 and appreciated by 9.1% in 2009. Although the foreign exchange market is allowed to float freely, there are no guarantees that the Central Bank of Colombia or the Colombian go</w:t>
      </w:r>
      <w:r>
        <w:rPr>
          <w:rFonts w:ascii="Arial" w:hAnsi="Arial" w:cs="Arial"/>
        </w:rPr>
        <w:t xml:space="preserve">vernment will not intervene in the exchange market in the future. The Federal Reserve Bank of New York does not report a rate for Colombian pesos. The </w:t>
      </w:r>
      <w:r>
        <w:rPr>
          <w:rFonts w:ascii="Arial" w:hAnsi="Arial" w:cs="Arial"/>
          <w:i/>
          <w:iCs/>
        </w:rPr>
        <w:t>Superintendencia Financiera de Colombia</w:t>
      </w:r>
      <w:r>
        <w:rPr>
          <w:rFonts w:ascii="Arial" w:hAnsi="Arial" w:cs="Arial"/>
        </w:rPr>
        <w:t xml:space="preserve"> calculates the representative market rate based on the weighted a</w:t>
      </w:r>
      <w:r>
        <w:rPr>
          <w:rFonts w:ascii="Arial" w:hAnsi="Arial" w:cs="Arial"/>
        </w:rPr>
        <w:t xml:space="preserve">verages of the buy/sell foreign exchange rates quoted daily by certain financial institutions for the purchase and sale of foreign currency.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- 87 - </w:t>
      </w:r>
    </w:p>
    <w:p w:rsidR="00000000" w:rsidRDefault="003E5AFF">
      <w:pPr>
        <w:rPr>
          <w:rFonts w:eastAsia="Times New Roman" w:cs="Times New Roman"/>
        </w:rPr>
      </w:pPr>
      <w:r>
        <w:rPr>
          <w:rFonts w:eastAsia="Times New Roman" w:cs="Times New Roman"/>
        </w:rPr>
        <w:pict>
          <v:rect id="_x0000_i1121" style="width:441.9pt;height:3pt" o:hralign="center" o:hrstd="t" o:hrnoshade="t" o:hr="t" fillcolor="#999" stroked="f"/>
        </w:pict>
      </w:r>
    </w:p>
    <w:p w:rsidR="00000000" w:rsidRDefault="003E5AFF">
      <w:pPr>
        <w:pStyle w:val="Heading5"/>
        <w:rPr>
          <w:rFonts w:eastAsia="Times New Roman" w:cs="Times New Roman"/>
        </w:rPr>
      </w:pPr>
      <w:hyperlink r:id="rId138"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rPr>
        <w:t xml:space="preserve">The following table sets forth the average Colombian peso/U.S. dollar representative market rate for the periods indicated, calculated by using the average of the exchange rates on the last day of each month during the period.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680"/>
        <w:gridCol w:w="124"/>
        <w:gridCol w:w="56"/>
        <w:gridCol w:w="779"/>
        <w:gridCol w:w="112"/>
        <w:gridCol w:w="125"/>
        <w:gridCol w:w="56"/>
        <w:gridCol w:w="779"/>
        <w:gridCol w:w="112"/>
        <w:gridCol w:w="125"/>
        <w:gridCol w:w="61"/>
        <w:gridCol w:w="851"/>
        <w:gridCol w:w="112"/>
        <w:gridCol w:w="188"/>
        <w:gridCol w:w="69"/>
        <w:gridCol w:w="965"/>
        <w:gridCol w:w="112"/>
      </w:tblGrid>
      <w:tr w:rsidR="00000000">
        <w:trPr>
          <w:jc w:val="center"/>
        </w:trPr>
        <w:tc>
          <w:tcPr>
            <w:tcW w:w="29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Daily observed exchange rate Col$ per U.S.$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High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Low</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Averag</w:t>
            </w:r>
            <w:r>
              <w:rPr>
                <w:rFonts w:ascii="Arial" w:eastAsia="Times New Roman" w:hAnsi="Arial" w:cs="Arial"/>
                <w:b/>
                <w:bCs/>
              </w:rPr>
              <w:t>e</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Period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Year ended December 31,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2261.22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1877.88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2076.24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2014.76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2392.28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1652.41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1967.11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2243.59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2009</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2596.37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1825.68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2153.30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2044.23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2044.23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1786,20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1902.50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1913.98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1972.76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1748.41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1846.97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1942.70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Month end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October 31,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1972.76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1862.84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1907.61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1863.06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November 30,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1967.18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1871.49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1919.48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1967.18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December 31, 2011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1949.56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1920.16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1933.35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1942.70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January 31,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1942.70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1801.88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1853.31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1815.08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February 29,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1805.98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1757.83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1782.75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1767.83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March 31,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1792.07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1758.03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1766.33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1792.07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April 30,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1793.30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1761.20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1774.25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1761.20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May 31,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1,850.16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1,754.89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1,794.43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1,827.83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June 1, 2012 through June 5, 2012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1,834.71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1,833.80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1,832.76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1,815.54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Central Bank of Colombia.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Calculated as the average of the month-end exchange rates during the relevant period.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- 88 - </w:t>
      </w:r>
    </w:p>
    <w:p w:rsidR="00000000" w:rsidRDefault="003E5AFF">
      <w:pPr>
        <w:rPr>
          <w:rFonts w:eastAsia="Times New Roman" w:cs="Times New Roman"/>
        </w:rPr>
      </w:pPr>
      <w:r>
        <w:rPr>
          <w:rFonts w:eastAsia="Times New Roman" w:cs="Times New Roman"/>
        </w:rPr>
        <w:pict>
          <v:rect id="_x0000_i1122" style="width:441.9pt;height:3pt" o:hralign="center" o:hrstd="t" o:hrnoshade="t" o:hr="t" fillcolor="#999" stroked="f"/>
        </w:pict>
      </w:r>
    </w:p>
    <w:p w:rsidR="00000000" w:rsidRDefault="003E5AFF">
      <w:pPr>
        <w:pStyle w:val="Heading5"/>
        <w:rPr>
          <w:rFonts w:eastAsia="Times New Roman" w:cs="Times New Roman"/>
        </w:rPr>
      </w:pPr>
      <w:hyperlink r:id="rId13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6" w:name="rom343004_15"/>
      <w:bookmarkEnd w:id="16"/>
      <w:r>
        <w:rPr>
          <w:rFonts w:ascii="Arial" w:hAnsi="Arial" w:cs="Arial"/>
          <w:b/>
          <w:bCs/>
          <w:sz w:val="36"/>
          <w:szCs w:val="36"/>
        </w:rPr>
        <w:t xml:space="preserve">Exchange controls </w:t>
      </w:r>
    </w:p>
    <w:p w:rsidR="00000000" w:rsidRDefault="003E5AFF">
      <w:pPr>
        <w:pStyle w:val="NormalWeb"/>
        <w:spacing w:before="120" w:beforeAutospacing="0" w:after="0" w:afterAutospacing="0"/>
      </w:pPr>
      <w:r>
        <w:rPr>
          <w:rFonts w:ascii="Arial" w:hAnsi="Arial" w:cs="Arial"/>
          <w:b/>
          <w:bCs/>
          <w:sz w:val="24"/>
          <w:szCs w:val="24"/>
        </w:rPr>
        <w:t xml:space="preserve">Chile </w:t>
      </w:r>
    </w:p>
    <w:p w:rsidR="00000000" w:rsidRDefault="003E5AFF">
      <w:pPr>
        <w:pStyle w:val="NormalWeb"/>
        <w:spacing w:before="120" w:beforeAutospacing="0" w:after="0" w:afterAutospacing="0"/>
      </w:pPr>
      <w:r>
        <w:rPr>
          <w:rFonts w:ascii="Arial" w:hAnsi="Arial" w:cs="Arial"/>
        </w:rPr>
        <w:t>The Chilean Central Bank is the entity responsible for monetary policies and exchange controls in Chile. Chilean issuers are authorized to offer securities internationally provided they</w:t>
      </w:r>
      <w:r>
        <w:rPr>
          <w:rFonts w:ascii="Arial" w:hAnsi="Arial" w:cs="Arial"/>
        </w:rPr>
        <w:t xml:space="preserve"> comply with, among other things, the provisions of Chapter XIV of the Compendium of Foreign Exchange Regulations of the Chilean Central Bank (the _Chilean Central Bank Compendium_). </w:t>
      </w:r>
    </w:p>
    <w:p w:rsidR="00000000" w:rsidRDefault="003E5AFF">
      <w:pPr>
        <w:pStyle w:val="NormalWeb"/>
        <w:spacing w:before="120" w:beforeAutospacing="0" w:after="0" w:afterAutospacing="0"/>
      </w:pPr>
      <w:r>
        <w:rPr>
          <w:rFonts w:ascii="Arial" w:hAnsi="Arial" w:cs="Arial"/>
        </w:rPr>
        <w:t>Pursuant to the provisions of Chapter XIV of the Chilean Central Bank Co</w:t>
      </w:r>
      <w:r>
        <w:rPr>
          <w:rFonts w:ascii="Arial" w:hAnsi="Arial" w:cs="Arial"/>
        </w:rPr>
        <w:t>mpendium, it is not necessary to seek the Chilean Central Bank_s prior approval in order to acquire shares in a Chilean market. The Chilean Central Bank only requires that (i) the remittance of funds for the acquisition of the shares in Chile be made throu</w:t>
      </w:r>
      <w:r>
        <w:rPr>
          <w:rFonts w:ascii="Arial" w:hAnsi="Arial" w:cs="Arial"/>
        </w:rPr>
        <w:t>gh the Formal Exchange Market and disclosed to the Chilean Central Bank as described below; and (ii) all remittances of funds from Chile to the foreign investor upon the sale of shares or from dividends or other distributions made in connection therewith b</w:t>
      </w:r>
      <w:r>
        <w:rPr>
          <w:rFonts w:ascii="Arial" w:hAnsi="Arial" w:cs="Arial"/>
        </w:rPr>
        <w:t xml:space="preserve">e made through the Formal Exchange Market and disclosed to the Chilean Central Bank as described below. </w:t>
      </w:r>
    </w:p>
    <w:p w:rsidR="00000000" w:rsidRDefault="003E5AFF">
      <w:pPr>
        <w:pStyle w:val="NormalWeb"/>
        <w:spacing w:before="120" w:beforeAutospacing="0" w:after="0" w:afterAutospacing="0"/>
      </w:pPr>
      <w:r>
        <w:rPr>
          <w:rFonts w:ascii="Arial" w:hAnsi="Arial" w:cs="Arial"/>
        </w:rPr>
        <w:t xml:space="preserve">The proceeds of </w:t>
      </w:r>
      <w:r>
        <w:rPr>
          <w:rFonts w:ascii="Arial" w:hAnsi="Arial" w:cs="Arial"/>
        </w:rPr>
        <w:t xml:space="preserve">the placement of the shares abroad may be brought into Chile or held abroad. If we remit the funds obtained from the placement of the shares in Chile, such remittance must be made through the Formal Exchange Market and we must deliver to the Department of </w:t>
      </w:r>
      <w:r>
        <w:rPr>
          <w:rFonts w:ascii="Arial" w:hAnsi="Arial" w:cs="Arial"/>
        </w:rPr>
        <w:t>Statistics Information of the Chilean Central Bank directly or through an entity participating in the Formal Exchange Market an annex providing information about the transaction, together with a letter instructing such entity to deliver us the foreign curr</w:t>
      </w:r>
      <w:r>
        <w:rPr>
          <w:rFonts w:ascii="Arial" w:hAnsi="Arial" w:cs="Arial"/>
        </w:rPr>
        <w:t>ency or the Chilean peso equivalent thereof. If we do not remit the funds obtained from the placement of the shares in Chile, we have to provide the same information to the Department of Statistics Information of the Chilean Central Bank directly or throug</w:t>
      </w:r>
      <w:r>
        <w:rPr>
          <w:rFonts w:ascii="Arial" w:hAnsi="Arial" w:cs="Arial"/>
        </w:rPr>
        <w:t>h an entity of the Formal Exchange Market, within the first 10 days of the month following the date on which we received the funds. All payments from dividends or other distributions in connection with the shares made from Chile must be made through the Fo</w:t>
      </w:r>
      <w:r>
        <w:rPr>
          <w:rFonts w:ascii="Arial" w:hAnsi="Arial" w:cs="Arial"/>
        </w:rPr>
        <w:t>rmal Exchange Market. Pursuant to Chapter XIV of the Chilean Central Bank Compendium, no prior authorization from the Chilean Central Bank is required for such payments in U.S. dollars. The participant of the Formal Exchange Market involved in the transfer</w:t>
      </w:r>
      <w:r>
        <w:rPr>
          <w:rFonts w:ascii="Arial" w:hAnsi="Arial" w:cs="Arial"/>
        </w:rPr>
        <w:t xml:space="preserve"> must provide certain information to the Chilean Central Bank on the banking business day following the day of payment. In the event payments are made outside Chile using foreign currency held abroad, we must provide the relevant information to the Chilean</w:t>
      </w:r>
      <w:r>
        <w:rPr>
          <w:rFonts w:ascii="Arial" w:hAnsi="Arial" w:cs="Arial"/>
        </w:rPr>
        <w:t xml:space="preserve"> Central Bank directly or through an entity of the Formal Exchange Market within the first 10 days of the month following the date on which the payment was made. </w:t>
      </w:r>
    </w:p>
    <w:p w:rsidR="00000000" w:rsidRDefault="003E5AFF">
      <w:pPr>
        <w:pStyle w:val="NormalWeb"/>
        <w:spacing w:before="120" w:beforeAutospacing="0" w:after="0" w:afterAutospacing="0"/>
      </w:pPr>
      <w:r>
        <w:rPr>
          <w:rFonts w:ascii="Arial" w:hAnsi="Arial" w:cs="Arial"/>
        </w:rPr>
        <w:t>Under Chapter XIV of the Chilean Central Bank Compendium, payments and remittances of funds from Chile are governed by the rules in effect at the time the payment or remittance is made. Therefore, any change made to Chilean laws and regulations after the d</w:t>
      </w:r>
      <w:r>
        <w:rPr>
          <w:rFonts w:ascii="Arial" w:hAnsi="Arial" w:cs="Arial"/>
        </w:rPr>
        <w:t>ate hereof will affect foreign investors who have acquired the shares. We cannot assure you that further Chilean Central Bank regulations or legislative changes to the current foreign exchange control regime in Chile will not restrict or prevent us from ac</w:t>
      </w:r>
      <w:r>
        <w:rPr>
          <w:rFonts w:ascii="Arial" w:hAnsi="Arial" w:cs="Arial"/>
        </w:rPr>
        <w:t xml:space="preserve">quiring U.S. dollars or that further restrictions applicable to us will not affect our ability to remit U.S. dollars for payment of dividends or other distributions in connection with the shares. </w:t>
      </w:r>
    </w:p>
    <w:p w:rsidR="00000000" w:rsidRDefault="003E5AFF">
      <w:pPr>
        <w:pStyle w:val="NormalWeb"/>
        <w:spacing w:before="120" w:beforeAutospacing="0" w:after="0" w:afterAutospacing="0"/>
      </w:pPr>
      <w:r>
        <w:rPr>
          <w:rFonts w:ascii="Arial" w:hAnsi="Arial" w:cs="Arial"/>
        </w:rPr>
        <w:t>The above is a summary of the Chilean Central Bank_s regula</w:t>
      </w:r>
      <w:r>
        <w:rPr>
          <w:rFonts w:ascii="Arial" w:hAnsi="Arial" w:cs="Arial"/>
        </w:rPr>
        <w:t xml:space="preserve">tions with respect to the issuance of securities, including the shares, as in force and effect as of the date of this prospectus. We cannot assure you that restrictions will not be imposed in the future, nor can there be any assessment of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- 89 - </w:t>
      </w:r>
    </w:p>
    <w:p w:rsidR="00000000" w:rsidRDefault="003E5AFF">
      <w:pPr>
        <w:rPr>
          <w:rFonts w:eastAsia="Times New Roman" w:cs="Times New Roman"/>
        </w:rPr>
      </w:pPr>
      <w:r>
        <w:rPr>
          <w:rFonts w:eastAsia="Times New Roman" w:cs="Times New Roman"/>
        </w:rPr>
        <w:pict>
          <v:rect id="_x0000_i1123" style="width:441.9pt;height:3pt" o:hralign="center" o:hrstd="t" o:hrnoshade="t" o:hr="t" fillcolor="#999" stroked="f"/>
        </w:pict>
      </w:r>
    </w:p>
    <w:p w:rsidR="00000000" w:rsidRDefault="003E5AFF">
      <w:pPr>
        <w:pStyle w:val="Heading5"/>
        <w:rPr>
          <w:rFonts w:eastAsia="Times New Roman" w:cs="Times New Roman"/>
        </w:rPr>
      </w:pPr>
      <w:hyperlink r:id="rId14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duration or impact of such restrictions if imposed. This summary does not purport to be complete and is qualified in its entirety by reference to the provisions of Chapter XIV of the Chilean Central Bank Compendium, a copy of which is available from us</w:t>
      </w:r>
      <w:r>
        <w:rPr>
          <w:rFonts w:ascii="Arial" w:hAnsi="Arial" w:cs="Arial"/>
        </w:rPr>
        <w:t xml:space="preserve"> upon request at the address provided under the caption _Our Corporate Information._ </w:t>
      </w:r>
    </w:p>
    <w:p w:rsidR="00000000" w:rsidRDefault="003E5AFF">
      <w:pPr>
        <w:pStyle w:val="NormalWeb"/>
        <w:spacing w:before="240" w:beforeAutospacing="0" w:after="0" w:afterAutospacing="0"/>
      </w:pPr>
      <w:r>
        <w:rPr>
          <w:rFonts w:ascii="Arial" w:hAnsi="Arial" w:cs="Arial"/>
          <w:b/>
          <w:bCs/>
          <w:sz w:val="24"/>
          <w:szCs w:val="24"/>
        </w:rPr>
        <w:t xml:space="preserve">Argentina </w:t>
      </w:r>
    </w:p>
    <w:p w:rsidR="00000000" w:rsidRDefault="003E5AFF">
      <w:pPr>
        <w:pStyle w:val="NormalWeb"/>
        <w:spacing w:before="120" w:beforeAutospacing="0" w:after="0" w:afterAutospacing="0"/>
      </w:pPr>
      <w:r>
        <w:rPr>
          <w:rFonts w:ascii="Arial" w:hAnsi="Arial" w:cs="Arial"/>
        </w:rPr>
        <w:t>Prior to December 1989, the Argentine foreign exchange market was subject to exchange controls. From December 1989 until April 1991, Argentina had a freely flo</w:t>
      </w:r>
      <w:r>
        <w:rPr>
          <w:rFonts w:ascii="Arial" w:hAnsi="Arial" w:cs="Arial"/>
        </w:rPr>
        <w:t>ating exchange rate for all foreign currency transactions, and the transfer of dividend payments in foreign currency abroad and the repatriation of capital were permitted without prior approval of the Central Bank of Argentina. From April 1, 1991, when the</w:t>
      </w:r>
      <w:r>
        <w:rPr>
          <w:rFonts w:ascii="Arial" w:hAnsi="Arial" w:cs="Arial"/>
        </w:rPr>
        <w:t xml:space="preserve"> Convertibility Law became effective, until December 21, 2001, when the Central Bank of Argentina decided to close the foreign exchange market, the Argentine currency was freely convertible into U.S. dollars. </w:t>
      </w:r>
    </w:p>
    <w:p w:rsidR="00000000" w:rsidRDefault="003E5AFF">
      <w:pPr>
        <w:pStyle w:val="NormalWeb"/>
        <w:spacing w:before="120" w:beforeAutospacing="0" w:after="0" w:afterAutospacing="0"/>
      </w:pPr>
      <w:r>
        <w:rPr>
          <w:rFonts w:ascii="Arial" w:hAnsi="Arial" w:cs="Arial"/>
        </w:rPr>
        <w:t xml:space="preserve">On December 3, 2001, the Argentine government </w:t>
      </w:r>
      <w:r>
        <w:rPr>
          <w:rFonts w:ascii="Arial" w:hAnsi="Arial" w:cs="Arial"/>
        </w:rPr>
        <w:t>imposed a number of monetary and currency exchange control measures through Decree 1570/01, which included restrictions on the free disposition of funds deposited with banks and tight restrictions on transferring funds abroad without the Central Bank of Ar</w:t>
      </w:r>
      <w:r>
        <w:rPr>
          <w:rFonts w:ascii="Arial" w:hAnsi="Arial" w:cs="Arial"/>
        </w:rPr>
        <w:t xml:space="preserve">gentina_s prior authorization subject to specific exceptions for transfers related to foreign trade. Beginning in January 2003, the Central Bank of Argentina has gradually eased these restrictions and expanded the list of transfers of funds abroad that do </w:t>
      </w:r>
      <w:r>
        <w:rPr>
          <w:rFonts w:ascii="Arial" w:hAnsi="Arial" w:cs="Arial"/>
        </w:rPr>
        <w:t>not require its prior authorization. However, in June 2003 the Argentine government instituted restrictions on capital flows into Argentina, which mainly consisted of a prohibition against the transfer abroad of any funds until 180 days after their entry i</w:t>
      </w:r>
      <w:r>
        <w:rPr>
          <w:rFonts w:ascii="Arial" w:hAnsi="Arial" w:cs="Arial"/>
        </w:rPr>
        <w:t xml:space="preserve">nto the country. </w:t>
      </w:r>
    </w:p>
    <w:p w:rsidR="00000000" w:rsidRDefault="003E5AFF">
      <w:pPr>
        <w:pStyle w:val="NormalWeb"/>
        <w:spacing w:before="120" w:beforeAutospacing="0" w:after="0" w:afterAutospacing="0"/>
      </w:pPr>
      <w:r>
        <w:rPr>
          <w:rFonts w:ascii="Arial" w:hAnsi="Arial" w:cs="Arial"/>
        </w:rPr>
        <w:t>In June 2005, the Argentine government issued Decree 616/05, which established additional restrictions over all capital flows that could result in the decreased availability of international credit. Pursuant to the decree, all private sec</w:t>
      </w:r>
      <w:r>
        <w:rPr>
          <w:rFonts w:ascii="Arial" w:hAnsi="Arial" w:cs="Arial"/>
        </w:rPr>
        <w:t xml:space="preserve">tor indebtedness of physical persons or corporations in Argentina are required to be agreed upon and repaid not prior to 365 days from the date of entry of the funds into Argentina, regardless of the form of repayment. The decree outlines several types of </w:t>
      </w:r>
      <w:r>
        <w:rPr>
          <w:rFonts w:ascii="Arial" w:hAnsi="Arial" w:cs="Arial"/>
        </w:rPr>
        <w:t>transactions that are exempt from its requirements, including foreign trade financings, foreign trade balances of those entities authorized to carry out foreign exchange, and primary offerings of debt securities issued pursuant to a public offering and lis</w:t>
      </w:r>
      <w:r>
        <w:rPr>
          <w:rFonts w:ascii="Arial" w:hAnsi="Arial" w:cs="Arial"/>
        </w:rPr>
        <w:t xml:space="preserve">ted on a self-regulated market. </w:t>
      </w:r>
    </w:p>
    <w:p w:rsidR="00000000" w:rsidRDefault="003E5AFF">
      <w:pPr>
        <w:pStyle w:val="NormalWeb"/>
        <w:spacing w:before="120" w:beforeAutospacing="0" w:after="0" w:afterAutospacing="0"/>
      </w:pPr>
      <w:r>
        <w:rPr>
          <w:rFonts w:ascii="Arial" w:hAnsi="Arial" w:cs="Arial"/>
        </w:rPr>
        <w:t>In addition, the decree, as supplemented by subsequent regulations, stipulates that all capital inflows of residents exceeding U.S.$2 million per month, as well as all capital inflows of non-residents settled in the local e</w:t>
      </w:r>
      <w:r>
        <w:rPr>
          <w:rFonts w:ascii="Arial" w:hAnsi="Arial" w:cs="Arial"/>
        </w:rPr>
        <w:t>xchange market destined for local money holdings, acquisition of active or passive private sector financings and investments in securities issued by the public sector that are acquired in secondary markets (excluding foreign direct investment, which includ</w:t>
      </w:r>
      <w:r>
        <w:rPr>
          <w:rFonts w:ascii="Arial" w:hAnsi="Arial" w:cs="Arial"/>
        </w:rPr>
        <w:t>es capital contributions to local companies of direct investments (namely, a company in which the foreign direct investor holds at least 10% of ordinary shares or voting rights, or its equivalent), and primary offerings of debt securities issued pursuant t</w:t>
      </w:r>
      <w:r>
        <w:rPr>
          <w:rFonts w:ascii="Arial" w:hAnsi="Arial" w:cs="Arial"/>
        </w:rPr>
        <w:t xml:space="preserve">o a public offering and listed on a self-regulated market), must meet certain requirements, including those outlined below: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such funds may be transferred only outside the local exchange market after a 365-day period from the date of entry of the funds into Argentina;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any Argentine Pesos resulting from the exchange of such funds are to be credited to an account wit</w:t>
            </w:r>
            <w:r>
              <w:rPr>
                <w:rFonts w:ascii="Arial" w:hAnsi="Arial" w:cs="Arial"/>
              </w:rPr>
              <w:t xml:space="preserve">hin the Argentine banking system; and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- 90 - </w:t>
      </w:r>
    </w:p>
    <w:p w:rsidR="00000000" w:rsidRDefault="003E5AFF">
      <w:pPr>
        <w:rPr>
          <w:rFonts w:eastAsia="Times New Roman" w:cs="Times New Roman"/>
        </w:rPr>
      </w:pPr>
      <w:r>
        <w:rPr>
          <w:rFonts w:eastAsia="Times New Roman" w:cs="Times New Roman"/>
        </w:rPr>
        <w:pict>
          <v:rect id="_x0000_i1124" style="width:441.9pt;height:3pt" o:hralign="center" o:hrstd="t" o:hrnoshade="t" o:hr="t" fillcolor="#999" stroked="f"/>
        </w:pict>
      </w:r>
    </w:p>
    <w:p w:rsidR="00000000" w:rsidRDefault="003E5AFF">
      <w:pPr>
        <w:pStyle w:val="Heading5"/>
        <w:rPr>
          <w:rFonts w:eastAsia="Times New Roman" w:cs="Times New Roman"/>
        </w:rPr>
      </w:pPr>
      <w:hyperlink r:id="rId141"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except for certain type of capital inflows, a non-transferable, non-interest-bearing U.S. Dollar-denominated mandatory deposit must be maintained for a term of 365 calendar days, in an amount equal to 30% of any such inflow of funds to the local foreign ex</w:t>
            </w:r>
            <w:r>
              <w:rPr>
                <w:rFonts w:ascii="Arial" w:hAnsi="Arial" w:cs="Arial"/>
              </w:rPr>
              <w:t xml:space="preserve">change market (which mandatory deposit may not be used as collateral or guaranty for any transaction). </w:t>
            </w:r>
          </w:p>
        </w:tc>
      </w:tr>
    </w:tbl>
    <w:p w:rsidR="00000000" w:rsidRDefault="003E5AFF">
      <w:pPr>
        <w:pStyle w:val="NormalWeb"/>
        <w:spacing w:before="120" w:beforeAutospacing="0" w:after="0" w:afterAutospacing="0"/>
      </w:pPr>
      <w:r>
        <w:rPr>
          <w:rFonts w:ascii="Arial" w:hAnsi="Arial" w:cs="Arial"/>
        </w:rPr>
        <w:t>In addition, on November 16, 2005, the Ministry of Economy and Production issued Resolution 637/05, pursuant to which Decree 616/05 was regulated, provi</w:t>
      </w:r>
      <w:r>
        <w:rPr>
          <w:rFonts w:ascii="Arial" w:hAnsi="Arial" w:cs="Arial"/>
        </w:rPr>
        <w:t>ding that any inflow of funds to the local exchange market in connection with an initial public offering of securities, bonds or certificates issued by a trustee under a trust, whether or not such trust is publicly offered and listed in a self-regulated ma</w:t>
      </w:r>
      <w:r>
        <w:rPr>
          <w:rFonts w:ascii="Arial" w:hAnsi="Arial" w:cs="Arial"/>
        </w:rPr>
        <w:t xml:space="preserve">rket, shall comply with all requirements provided for section 4 of Decree 616/05 whenever such requirements are applicable to the inflow of funds to the local exchange market in connection with the acquisition of any of the assets under the trust. </w:t>
      </w:r>
    </w:p>
    <w:p w:rsidR="00000000" w:rsidRDefault="003E5AFF">
      <w:pPr>
        <w:pStyle w:val="NormalWeb"/>
        <w:spacing w:before="120" w:beforeAutospacing="0" w:after="0" w:afterAutospacing="0"/>
      </w:pPr>
      <w:r>
        <w:rPr>
          <w:rFonts w:ascii="Arial" w:hAnsi="Arial" w:cs="Arial"/>
        </w:rPr>
        <w:t>The tra</w:t>
      </w:r>
      <w:r>
        <w:rPr>
          <w:rFonts w:ascii="Arial" w:hAnsi="Arial" w:cs="Arial"/>
        </w:rPr>
        <w:t>nsfer abroad of dividend payments is currently authorized by applicable regulations to the extent such dividend payments are made in connection with audited financial statements approved by a shareholders_ meeting. Any breach of the provisions of Decree No</w:t>
      </w:r>
      <w:r>
        <w:rPr>
          <w:rFonts w:ascii="Arial" w:hAnsi="Arial" w:cs="Arial"/>
        </w:rPr>
        <w:t xml:space="preserve">. 616/05 or any other foreign exchange regulation is subject to criminal penalties of the laws governing the Argentine exchange market. </w:t>
      </w:r>
    </w:p>
    <w:p w:rsidR="00000000" w:rsidRDefault="003E5AFF">
      <w:pPr>
        <w:pStyle w:val="NormalWeb"/>
        <w:spacing w:before="120" w:beforeAutospacing="0" w:after="0" w:afterAutospacing="0"/>
      </w:pPr>
      <w:r>
        <w:rPr>
          <w:rFonts w:ascii="Arial" w:hAnsi="Arial" w:cs="Arial"/>
        </w:rPr>
        <w:t>In addition, pursuant to Resolutions AFIP N_ 3210/2011 and N_ 3212/2011 and Communication _A_ 5245, enacted in late 201</w:t>
      </w:r>
      <w:r>
        <w:rPr>
          <w:rFonts w:ascii="Arial" w:hAnsi="Arial" w:cs="Arial"/>
        </w:rPr>
        <w:t>1, prior to authorizing the sale of foreign currency to make portfolio investments abroad or similar investments, the local bank must obtain prior clearance from an online database run by the federal tax authority (AFIP). This database must confirm whether</w:t>
      </w:r>
      <w:r>
        <w:rPr>
          <w:rFonts w:ascii="Arial" w:hAnsi="Arial" w:cs="Arial"/>
        </w:rPr>
        <w:t xml:space="preserve"> an individual or entity has sufficient declared assets or funds to make the purchase of foreign currency. In the event that declared assets or funds are not sufficient, the bank may not sell foreign currency to such individual or entity. However, the regu</w:t>
      </w:r>
      <w:r>
        <w:rPr>
          <w:rFonts w:ascii="Arial" w:hAnsi="Arial" w:cs="Arial"/>
        </w:rPr>
        <w:t xml:space="preserve">lations fail to explain how this calculation is carried out. This clearance requirement may affect the ability of our Argentine subsidiaries to make or manage its foreign currency investments or to transfer funds abroad. </w:t>
      </w:r>
    </w:p>
    <w:p w:rsidR="00000000" w:rsidRDefault="003E5AFF">
      <w:pPr>
        <w:pStyle w:val="NormalWeb"/>
        <w:spacing w:before="240" w:beforeAutospacing="0" w:after="0" w:afterAutospacing="0"/>
      </w:pPr>
      <w:r>
        <w:rPr>
          <w:rFonts w:ascii="Arial" w:hAnsi="Arial" w:cs="Arial"/>
          <w:b/>
          <w:bCs/>
          <w:i/>
          <w:iCs/>
        </w:rPr>
        <w:t>Repatriation of investments by non</w:t>
      </w:r>
      <w:r>
        <w:rPr>
          <w:rFonts w:ascii="Arial" w:hAnsi="Arial" w:cs="Arial"/>
          <w:b/>
          <w:bCs/>
          <w:i/>
          <w:iCs/>
        </w:rPr>
        <w:t xml:space="preserve">-argentine residents </w:t>
      </w:r>
    </w:p>
    <w:p w:rsidR="00000000" w:rsidRDefault="003E5AFF">
      <w:pPr>
        <w:pStyle w:val="NormalWeb"/>
        <w:spacing w:before="120" w:beforeAutospacing="0" w:after="0" w:afterAutospacing="0"/>
      </w:pPr>
      <w:r>
        <w:rPr>
          <w:rFonts w:ascii="Arial" w:hAnsi="Arial" w:cs="Arial"/>
        </w:rPr>
        <w:t xml:space="preserve">Repatriation of funds by non-Argentine residents is subject to the prior approval of the Central Bank; however, various exceptions exist to this general principle, including, among others: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Repatriation of direct investments resulting from the sale of investments, the process of wind-up or liquidation of a company, capital reduction or the repayment of capital contributions. In these instances, the foreign investor must demonstrate that it ha</w:t>
            </w:r>
            <w:r>
              <w:rPr>
                <w:rFonts w:ascii="Arial" w:hAnsi="Arial" w:cs="Arial"/>
              </w:rPr>
              <w:t>s held the Argentine investment for at least 365 days. In addition, investments made after October 28, 2011 (capital contributions or acquisition of interests in Argentine companies) may be repatriated only if it can be demonstrated that the funds invested</w:t>
            </w:r>
            <w:r>
              <w:rPr>
                <w:rFonts w:ascii="Arial" w:hAnsi="Arial" w:cs="Arial"/>
              </w:rPr>
              <w:t xml:space="preserve"> in the Argentine company were brought into Argentina at least 365 days prior to repatriation; a certificate from a financial institution or foreign exchange firm must be provided that states the amount of the funds and the date on which such funds were tr</w:t>
            </w:r>
            <w:r>
              <w:rPr>
                <w:rFonts w:ascii="Arial" w:hAnsi="Arial" w:cs="Arial"/>
              </w:rPr>
              <w:t xml:space="preserve">ansferred into Argentina for the purpose of making the investment. However, in the event that the investor is organized or domiciled in a country which, pursuant to Argentine law, is considered to be of low or no taxation, repatriation must be approved by </w:t>
            </w:r>
            <w:r>
              <w:rPr>
                <w:rFonts w:ascii="Arial" w:hAnsi="Arial" w:cs="Arial"/>
              </w:rPr>
              <w:t xml:space="preserve">the Central Bank.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Repatriation of portfolio investments (and the related income), provided that the aggregate amount of such repatriation does not exceed U.S.$500,000 per month. Repatriation in this instance is permitted provided the investor</w:t>
            </w:r>
            <w:r>
              <w:rPr>
                <w:rFonts w:ascii="Arial" w:hAnsi="Arial" w:cs="Arial"/>
              </w:rPr>
              <w:t xml:space="preserve"> can demonstrate that the funds used to make such investment were brought into Argentina at least 365 days prior to repatriation; a certificate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- 91 - </w:t>
      </w:r>
    </w:p>
    <w:p w:rsidR="00000000" w:rsidRDefault="003E5AFF">
      <w:pPr>
        <w:rPr>
          <w:rFonts w:eastAsia="Times New Roman" w:cs="Times New Roman"/>
        </w:rPr>
      </w:pPr>
      <w:r>
        <w:rPr>
          <w:rFonts w:eastAsia="Times New Roman" w:cs="Times New Roman"/>
        </w:rPr>
        <w:pict>
          <v:rect id="_x0000_i1125" style="width:441.9pt;height:3pt" o:hralign="center" o:hrstd="t" o:hrnoshade="t" o:hr="t" fillcolor="#999" stroked="f"/>
        </w:pict>
      </w:r>
    </w:p>
    <w:p w:rsidR="00000000" w:rsidRDefault="003E5AFF">
      <w:pPr>
        <w:pStyle w:val="Heading5"/>
        <w:rPr>
          <w:rFonts w:eastAsia="Times New Roman" w:cs="Times New Roman"/>
        </w:rPr>
      </w:pPr>
      <w:hyperlink r:id="rId142"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66"/>
        <w:gridCol w:w="8140"/>
      </w:tblGrid>
      <w:tr w:rsidR="00000000">
        <w:tc>
          <w:tcPr>
            <w:tcW w:w="1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from a financial institution or foreign exchange firm must be provided that states the amount of the funds and the date on which such funds were transferred into Argentina for the purpose of making the investment. However, in the event that the investor is</w:t>
            </w:r>
            <w:r>
              <w:rPr>
                <w:rFonts w:ascii="Arial" w:hAnsi="Arial" w:cs="Arial"/>
              </w:rPr>
              <w:t xml:space="preserve"> organized or domiciled in a country which, pursuant to Argentine law, is considered to be of low or no taxation, repatriation must be approved by the Central Bank. </w:t>
            </w:r>
          </w:p>
        </w:tc>
      </w:tr>
    </w:tbl>
    <w:p w:rsidR="00000000" w:rsidRDefault="003E5AFF">
      <w:pPr>
        <w:pStyle w:val="NormalWeb"/>
        <w:spacing w:before="120" w:beforeAutospacing="0" w:after="0" w:afterAutospacing="0"/>
      </w:pPr>
      <w:r>
        <w:rPr>
          <w:rFonts w:ascii="Arial" w:hAnsi="Arial" w:cs="Arial"/>
        </w:rPr>
        <w:t>These repatriation exceptions are available provided the financial institution through whi</w:t>
      </w:r>
      <w:r>
        <w:rPr>
          <w:rFonts w:ascii="Arial" w:hAnsi="Arial" w:cs="Arial"/>
        </w:rPr>
        <w:t>ch a funds transfer is made is capable of determining (among other things) that _</w:t>
      </w:r>
      <w:r>
        <w:rPr>
          <w:rFonts w:ascii="Arial" w:hAnsi="Arial" w:cs="Arial"/>
          <w:i/>
          <w:iCs/>
        </w:rPr>
        <w:t>from the date of collection of the funds (_) to the date of the foreign exchange transaction, the funds received were not allocated to other investments in Argentina.</w:t>
      </w:r>
      <w:r>
        <w:rPr>
          <w:rFonts w:ascii="Arial" w:hAnsi="Arial" w:cs="Arial"/>
        </w:rPr>
        <w:t xml:space="preserve">_ </w:t>
      </w:r>
    </w:p>
    <w:p w:rsidR="00000000" w:rsidRDefault="003E5AFF">
      <w:pPr>
        <w:pStyle w:val="NormalWeb"/>
        <w:spacing w:before="120" w:beforeAutospacing="0" w:after="0" w:afterAutospacing="0"/>
      </w:pPr>
      <w:r>
        <w:rPr>
          <w:rFonts w:ascii="Arial" w:hAnsi="Arial" w:cs="Arial"/>
        </w:rPr>
        <w:t>Any tr</w:t>
      </w:r>
      <w:r>
        <w:rPr>
          <w:rFonts w:ascii="Arial" w:hAnsi="Arial" w:cs="Arial"/>
        </w:rPr>
        <w:t xml:space="preserve">ansactions not covered by the preceding paragraphs (or any other exception) are subject to prior Central Bank approval. </w:t>
      </w:r>
    </w:p>
    <w:p w:rsidR="00000000" w:rsidRDefault="003E5AFF">
      <w:pPr>
        <w:pStyle w:val="NormalWeb"/>
        <w:spacing w:before="240" w:beforeAutospacing="0" w:after="0" w:afterAutospacing="0"/>
      </w:pPr>
      <w:r>
        <w:rPr>
          <w:rFonts w:ascii="Arial" w:hAnsi="Arial" w:cs="Arial"/>
          <w:b/>
          <w:bCs/>
          <w:i/>
          <w:iCs/>
        </w:rPr>
        <w:t xml:space="preserve">Foreign investments by argentine residents </w:t>
      </w:r>
    </w:p>
    <w:p w:rsidR="00000000" w:rsidRDefault="003E5AFF">
      <w:pPr>
        <w:pStyle w:val="NormalWeb"/>
        <w:spacing w:before="120" w:beforeAutospacing="0" w:after="0" w:afterAutospacing="0"/>
      </w:pPr>
      <w:r>
        <w:rPr>
          <w:rFonts w:ascii="Arial" w:hAnsi="Arial" w:cs="Arial"/>
        </w:rPr>
        <w:t>As a general matter, individuals and legal entities (excluding private trusts and non-regis</w:t>
      </w:r>
      <w:r>
        <w:rPr>
          <w:rFonts w:ascii="Arial" w:hAnsi="Arial" w:cs="Arial"/>
        </w:rPr>
        <w:t>tered civil and commercial companies, associations and foundations) are authorized to buy or transfer foreign currency in an amount of up to U.S.$2 million per month (provided they do not have due and unpaid debts of any nature owing to foreign creditors).</w:t>
      </w:r>
      <w:r>
        <w:rPr>
          <w:rFonts w:ascii="Arial" w:hAnsi="Arial" w:cs="Arial"/>
        </w:rPr>
        <w:t xml:space="preserve"> However, in practice, certain regulations have restricted the ability to purchase or transfer foreign currency for general savings or investment purposes (such practice is referred to as _accumulation_ or _</w:t>
      </w:r>
      <w:r>
        <w:rPr>
          <w:rFonts w:ascii="Arial" w:hAnsi="Arial" w:cs="Arial"/>
          <w:i/>
          <w:iCs/>
        </w:rPr>
        <w:t>atesoramiento</w:t>
      </w:r>
      <w:r>
        <w:rPr>
          <w:rFonts w:ascii="Arial" w:hAnsi="Arial" w:cs="Arial"/>
        </w:rPr>
        <w:t xml:space="preserve">_):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(a)</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Pursuant to Communication _A_ 5236 (as amended) of the Central Bank, in the event that the aggregate amount of foreign currency purchases (including transfers) during a calendar year exceeds U.S.$250,000: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32"/>
        <w:gridCol w:w="249"/>
        <w:gridCol w:w="83"/>
        <w:gridCol w:w="7642"/>
      </w:tblGrid>
      <w:tr w:rsidR="00000000">
        <w:tc>
          <w:tcPr>
            <w:tcW w:w="2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150" w:type="pct"/>
            <w:hideMark/>
          </w:tcPr>
          <w:p w:rsidR="00000000" w:rsidRDefault="003E5AFF">
            <w:pPr>
              <w:rPr>
                <w:rFonts w:eastAsia="Times New Roman" w:cs="Times New Roman"/>
              </w:rPr>
            </w:pPr>
            <w:r>
              <w:rPr>
                <w:rFonts w:ascii="Arial" w:eastAsia="Times New Roman" w:hAnsi="Arial" w:cs="Arial"/>
              </w:rPr>
              <w:t>(i)</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in the case of individuals, the total amount of foreign currency purchases may not exceed the sum of: (i) the investments in Argentine financial assets and the amount of Argentine currency declared in the individual_s most recent personal tax return filed </w:t>
            </w:r>
            <w:r>
              <w:rPr>
                <w:rFonts w:ascii="Arial" w:eastAsia="Times New Roman" w:hAnsi="Arial" w:cs="Arial"/>
              </w:rPr>
              <w:t>with Argentine tax authorities, (ii) the funds resulting from the sale in Argentina of recordable assets and foreign currency declared in the individual_s most recent personal tax return filed with Argentine tax authorities, (iii) the individual_s earnings</w:t>
            </w:r>
            <w:r>
              <w:rPr>
                <w:rFonts w:ascii="Arial" w:eastAsia="Times New Roman" w:hAnsi="Arial" w:cs="Arial"/>
              </w:rPr>
              <w:t xml:space="preserve"> for the current year which are subject to income tax withholding, (iv) other sources of income collected by the individual during the year that are not subject to income tax and (v) amounts received by the individual through an inheritance;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32"/>
        <w:gridCol w:w="249"/>
        <w:gridCol w:w="83"/>
        <w:gridCol w:w="7642"/>
      </w:tblGrid>
      <w:tr w:rsidR="00000000">
        <w:tc>
          <w:tcPr>
            <w:tcW w:w="2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150" w:type="pct"/>
            <w:hideMark/>
          </w:tcPr>
          <w:p w:rsidR="00000000" w:rsidRDefault="003E5AFF">
            <w:pPr>
              <w:rPr>
                <w:rFonts w:eastAsia="Times New Roman" w:cs="Times New Roman"/>
              </w:rPr>
            </w:pPr>
            <w:r>
              <w:rPr>
                <w:rFonts w:ascii="Arial" w:eastAsia="Times New Roman" w:hAnsi="Arial" w:cs="Arial"/>
              </w:rPr>
              <w:t>(ii)</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in the case of legal entities, the total amount of foreign currency purchases may not exceed: (i) the entity_s net worth (per the financial statements corresponding to the immediately preceding fiscal year), plus (ii) the entity_s earnings gener</w:t>
            </w:r>
            <w:r>
              <w:rPr>
                <w:rFonts w:ascii="Arial" w:eastAsia="Times New Roman" w:hAnsi="Arial" w:cs="Arial"/>
              </w:rPr>
              <w:t xml:space="preserve">ated after the end of the immediately preceding fiscal year, </w:t>
            </w:r>
            <w:r>
              <w:rPr>
                <w:rFonts w:ascii="Arial" w:eastAsia="Times New Roman" w:hAnsi="Arial" w:cs="Arial"/>
                <w:i/>
                <w:iCs/>
              </w:rPr>
              <w:t>plus</w:t>
            </w:r>
            <w:r>
              <w:rPr>
                <w:rFonts w:ascii="Arial" w:eastAsia="Times New Roman" w:hAnsi="Arial" w:cs="Arial"/>
              </w:rPr>
              <w:t xml:space="preserve"> (iii) the entity_s proceeds from the sale of foreign currency in the foreign exchange market, </w:t>
            </w:r>
            <w:r>
              <w:rPr>
                <w:rFonts w:ascii="Arial" w:eastAsia="Times New Roman" w:hAnsi="Arial" w:cs="Arial"/>
                <w:i/>
                <w:iCs/>
              </w:rPr>
              <w:t>minus</w:t>
            </w:r>
            <w:r>
              <w:rPr>
                <w:rFonts w:ascii="Arial" w:eastAsia="Times New Roman" w:hAnsi="Arial" w:cs="Arial"/>
              </w:rPr>
              <w:t xml:space="preserve"> (iv) the entity_s investments in external assets (including foreign currency) as of the da</w:t>
            </w:r>
            <w:r>
              <w:rPr>
                <w:rFonts w:ascii="Arial" w:eastAsia="Times New Roman" w:hAnsi="Arial" w:cs="Arial"/>
              </w:rPr>
              <w:t xml:space="preserve">te of purchase, </w:t>
            </w:r>
            <w:r>
              <w:rPr>
                <w:rFonts w:ascii="Arial" w:eastAsia="Times New Roman" w:hAnsi="Arial" w:cs="Arial"/>
                <w:i/>
                <w:iCs/>
              </w:rPr>
              <w:t>minus</w:t>
            </w:r>
            <w:r>
              <w:rPr>
                <w:rFonts w:ascii="Arial" w:eastAsia="Times New Roman" w:hAnsi="Arial" w:cs="Arial"/>
              </w:rPr>
              <w:t xml:space="preserve"> (v) deposits in Argentina of foreign currency, </w:t>
            </w:r>
            <w:r>
              <w:rPr>
                <w:rFonts w:ascii="Arial" w:eastAsia="Times New Roman" w:hAnsi="Arial" w:cs="Arial"/>
                <w:i/>
                <w:iCs/>
              </w:rPr>
              <w:t>minus</w:t>
            </w:r>
            <w:r>
              <w:rPr>
                <w:rFonts w:ascii="Arial" w:eastAsia="Times New Roman" w:hAnsi="Arial" w:cs="Arial"/>
              </w:rPr>
              <w:t xml:space="preserve"> (vi) investments in Argentine companies, </w:t>
            </w:r>
            <w:r>
              <w:rPr>
                <w:rFonts w:ascii="Arial" w:eastAsia="Times New Roman" w:hAnsi="Arial" w:cs="Arial"/>
                <w:i/>
                <w:iCs/>
              </w:rPr>
              <w:t>minus</w:t>
            </w:r>
            <w:r>
              <w:rPr>
                <w:rFonts w:ascii="Arial" w:eastAsia="Times New Roman" w:hAnsi="Arial" w:cs="Arial"/>
              </w:rPr>
              <w:t xml:space="preserve"> (vii) distributions by the entity of dividends approved after the end of the immediately preceding fiscal year.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(b)</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Pursua</w:t>
            </w:r>
            <w:r>
              <w:rPr>
                <w:rFonts w:ascii="Arial" w:hAnsi="Arial" w:cs="Arial"/>
              </w:rPr>
              <w:t>nt to Resolutions AFIP No. 3210/2011 and No. 3212/2011 and Communication _A_ 5245, prior to authorizing the sale of foreign currency to a given client, the bank handling such sale must consult an online database maintained by the Argentine federal tax auth</w:t>
            </w:r>
            <w:r>
              <w:rPr>
                <w:rFonts w:ascii="Arial" w:hAnsi="Arial" w:cs="Arial"/>
              </w:rPr>
              <w:t xml:space="preserve">ority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- 92 - </w:t>
      </w:r>
    </w:p>
    <w:p w:rsidR="00000000" w:rsidRDefault="003E5AFF">
      <w:pPr>
        <w:rPr>
          <w:rFonts w:eastAsia="Times New Roman" w:cs="Times New Roman"/>
        </w:rPr>
      </w:pPr>
      <w:r>
        <w:rPr>
          <w:rFonts w:eastAsia="Times New Roman" w:cs="Times New Roman"/>
        </w:rPr>
        <w:pict>
          <v:rect id="_x0000_i1126" style="width:441.9pt;height:3pt" o:hralign="center" o:hrstd="t" o:hrnoshade="t" o:hr="t" fillcolor="#999" stroked="f"/>
        </w:pict>
      </w:r>
    </w:p>
    <w:p w:rsidR="00000000" w:rsidRDefault="003E5AFF">
      <w:pPr>
        <w:pStyle w:val="Heading5"/>
        <w:rPr>
          <w:rFonts w:eastAsia="Times New Roman" w:cs="Times New Roman"/>
        </w:rPr>
      </w:pPr>
      <w:hyperlink r:id="rId143"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332"/>
        <w:gridCol w:w="7974"/>
      </w:tblGrid>
      <w:tr w:rsidR="00000000">
        <w:tc>
          <w:tcPr>
            <w:tcW w:w="2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to confirm whether t</w:t>
            </w:r>
            <w:r>
              <w:rPr>
                <w:rFonts w:ascii="Arial" w:eastAsia="Times New Roman" w:hAnsi="Arial" w:cs="Arial"/>
              </w:rPr>
              <w:t>he client desiring to make such purchase has met the requirements outlined above. In the event that the requirements are not met by the client, the bank may not carry out the sale of foreign currency. However, the regulations fail to provide detail as to h</w:t>
            </w:r>
            <w:r>
              <w:rPr>
                <w:rFonts w:ascii="Arial" w:eastAsia="Times New Roman" w:hAnsi="Arial" w:cs="Arial"/>
              </w:rPr>
              <w:t xml:space="preserve">ow the required calculations are to be made. </w:t>
            </w:r>
          </w:p>
        </w:tc>
      </w:tr>
    </w:tbl>
    <w:p w:rsidR="00000000" w:rsidRDefault="003E5AFF">
      <w:pPr>
        <w:pStyle w:val="NormalWeb"/>
        <w:spacing w:before="120" w:beforeAutospacing="0" w:after="0" w:afterAutospacing="0"/>
      </w:pPr>
      <w:r>
        <w:rPr>
          <w:rFonts w:ascii="Arial" w:hAnsi="Arial" w:cs="Arial"/>
        </w:rPr>
        <w:t xml:space="preserve">In addition, purchases of foreign currency for purposes of accumulation are subject to the following conditions: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(a)</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The Argentine resident must not have due and unpaid debts owing to foreign creditors (whether financial or commercial in nature). This requirement will not apply if the purchase of foreign currency does not exceed U.S.$10,000 per calendar month.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(b)</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If the purpose of the purchase and transfer of funds is to purchase Argentine securities, including ADRs, the purchase of such securities may only be carried out 20 business days following the transfer of funds.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249"/>
        <w:gridCol w:w="83"/>
        <w:gridCol w:w="7974"/>
      </w:tblGrid>
      <w:tr w:rsidR="00000000">
        <w:tc>
          <w:tcPr>
            <w:tcW w:w="150" w:type="pct"/>
            <w:hideMark/>
          </w:tcPr>
          <w:p w:rsidR="00000000" w:rsidRDefault="003E5AFF">
            <w:pPr>
              <w:rPr>
                <w:rFonts w:eastAsia="Times New Roman" w:cs="Times New Roman"/>
              </w:rPr>
            </w:pPr>
            <w:r>
              <w:rPr>
                <w:rFonts w:ascii="Arial" w:eastAsia="Times New Roman" w:hAnsi="Arial" w:cs="Arial"/>
              </w:rPr>
              <w:t>(c)</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In the case of foreign</w:t>
            </w:r>
            <w:r>
              <w:rPr>
                <w:rFonts w:ascii="Arial" w:eastAsia="Times New Roman" w:hAnsi="Arial" w:cs="Arial"/>
              </w:rPr>
              <w:t xml:space="preserve"> portfolio investments, the funds must be transferred from an Argentine bank account of the Argentine resident to a different bank account opened with: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32"/>
        <w:gridCol w:w="249"/>
        <w:gridCol w:w="83"/>
        <w:gridCol w:w="7642"/>
      </w:tblGrid>
      <w:tr w:rsidR="00000000">
        <w:tc>
          <w:tcPr>
            <w:tcW w:w="2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150" w:type="pct"/>
            <w:hideMark/>
          </w:tcPr>
          <w:p w:rsidR="00000000" w:rsidRDefault="003E5AFF">
            <w:pPr>
              <w:rPr>
                <w:rFonts w:eastAsia="Times New Roman" w:cs="Times New Roman"/>
              </w:rPr>
            </w:pPr>
            <w:r>
              <w:rPr>
                <w:rFonts w:ascii="Arial" w:eastAsia="Times New Roman" w:hAnsi="Arial" w:cs="Arial"/>
              </w:rPr>
              <w:t>(i)</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a foreign bank established in any country member of the OECD whose foreign indebtedness has an international rating of at least _BBB_ or that consolidates its financial statements in Argentina with an Argentine bank;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32"/>
        <w:gridCol w:w="249"/>
        <w:gridCol w:w="83"/>
        <w:gridCol w:w="7642"/>
      </w:tblGrid>
      <w:tr w:rsidR="00000000">
        <w:tc>
          <w:tcPr>
            <w:tcW w:w="2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150" w:type="pct"/>
            <w:hideMark/>
          </w:tcPr>
          <w:p w:rsidR="00000000" w:rsidRDefault="003E5AFF">
            <w:pPr>
              <w:rPr>
                <w:rFonts w:eastAsia="Times New Roman" w:cs="Times New Roman"/>
              </w:rPr>
            </w:pPr>
            <w:r>
              <w:rPr>
                <w:rFonts w:ascii="Arial" w:eastAsia="Times New Roman" w:hAnsi="Arial" w:cs="Arial"/>
              </w:rPr>
              <w:t>(ii)</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foreign banks of the country of permanent residence of individuals authorized to remain in Argentina as _temporary residents_ under the provisions of section 23 of Argentine Immigration Law No. 25,871;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26"/>
        <w:gridCol w:w="267"/>
        <w:gridCol w:w="77"/>
        <w:gridCol w:w="7636"/>
      </w:tblGrid>
      <w:tr w:rsidR="00000000">
        <w:tc>
          <w:tcPr>
            <w:tcW w:w="2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150" w:type="pct"/>
            <w:hideMark/>
          </w:tcPr>
          <w:p w:rsidR="00000000" w:rsidRDefault="003E5AFF">
            <w:pPr>
              <w:rPr>
                <w:rFonts w:eastAsia="Times New Roman" w:cs="Times New Roman"/>
              </w:rPr>
            </w:pPr>
            <w:r>
              <w:rPr>
                <w:rFonts w:ascii="Arial" w:eastAsia="Times New Roman" w:hAnsi="Arial" w:cs="Arial"/>
              </w:rPr>
              <w:t>(iii)</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xml:space="preserve">a financial entity regularly </w:t>
            </w:r>
            <w:r>
              <w:rPr>
                <w:rFonts w:ascii="Arial" w:eastAsia="Times New Roman" w:hAnsi="Arial" w:cs="Arial"/>
              </w:rPr>
              <w:t xml:space="preserve">engaged in investment banking activities, established in any country member of the OECD whose foreign indebtedness has an international rating of at least _BBB_. </w:t>
            </w:r>
          </w:p>
        </w:tc>
      </w:tr>
    </w:tbl>
    <w:p w:rsidR="00000000" w:rsidRDefault="003E5AFF">
      <w:pPr>
        <w:pStyle w:val="NormalWeb"/>
        <w:spacing w:before="240" w:beforeAutospacing="0" w:after="0" w:afterAutospacing="0"/>
      </w:pPr>
      <w:r>
        <w:rPr>
          <w:rFonts w:ascii="Arial" w:hAnsi="Arial" w:cs="Arial"/>
          <w:b/>
          <w:bCs/>
          <w:i/>
          <w:iCs/>
        </w:rPr>
        <w:t xml:space="preserve">Repatriation of funds by argentine residents </w:t>
      </w:r>
    </w:p>
    <w:p w:rsidR="00000000" w:rsidRDefault="003E5AFF">
      <w:pPr>
        <w:pStyle w:val="NormalWeb"/>
        <w:spacing w:before="120" w:beforeAutospacing="0" w:after="0" w:afterAutospacing="0"/>
      </w:pPr>
      <w:r>
        <w:rPr>
          <w:rFonts w:ascii="Arial" w:hAnsi="Arial" w:cs="Arial"/>
        </w:rPr>
        <w:t>Repatriation of funds by Argentine residents up to U.S.$2 million per month is exempt from the deposit (</w:t>
      </w:r>
      <w:r>
        <w:rPr>
          <w:rFonts w:ascii="Arial" w:hAnsi="Arial" w:cs="Arial"/>
          <w:i/>
          <w:iCs/>
        </w:rPr>
        <w:t>encaje</w:t>
      </w:r>
      <w:r>
        <w:rPr>
          <w:rFonts w:ascii="Arial" w:hAnsi="Arial" w:cs="Arial"/>
        </w:rPr>
        <w:t>) requirement. If the funds repatriated by an Argentine resident exceed this monthly cap, the deposit requirement will apply in an amount equal to</w:t>
      </w:r>
      <w:r>
        <w:rPr>
          <w:rFonts w:ascii="Arial" w:hAnsi="Arial" w:cs="Arial"/>
        </w:rPr>
        <w:t xml:space="preserve"> 30% of the excess funds. </w:t>
      </w:r>
    </w:p>
    <w:p w:rsidR="00000000" w:rsidRDefault="003E5AFF">
      <w:pPr>
        <w:pStyle w:val="NormalWeb"/>
        <w:spacing w:before="240" w:beforeAutospacing="0" w:after="0" w:afterAutospacing="0"/>
      </w:pPr>
      <w:r>
        <w:rPr>
          <w:rFonts w:ascii="Arial" w:hAnsi="Arial" w:cs="Arial"/>
          <w:b/>
          <w:bCs/>
          <w:i/>
          <w:iCs/>
        </w:rPr>
        <w:t xml:space="preserve">Criminal foreign exchange regime </w:t>
      </w:r>
    </w:p>
    <w:p w:rsidR="00000000" w:rsidRDefault="003E5AFF">
      <w:pPr>
        <w:pStyle w:val="NormalWeb"/>
        <w:spacing w:before="120" w:beforeAutospacing="0" w:after="0" w:afterAutospacing="0"/>
      </w:pPr>
      <w:r>
        <w:rPr>
          <w:rFonts w:ascii="Arial" w:hAnsi="Arial" w:cs="Arial"/>
        </w:rPr>
        <w:t xml:space="preserve">Pursuant to the provisions of Central Bank Communication _A_ 3471, foreign exchange transactions may only be carried </w:t>
      </w:r>
      <w:r>
        <w:rPr>
          <w:rFonts w:ascii="Arial" w:hAnsi="Arial" w:cs="Arial"/>
        </w:rPr>
        <w:t>out through financial institutions authorized to do so by the Central Bank (e.g., financial institutions and foreign exchange bureaus). Central Bank Communication _A_ 3471 further provides that any transactions that fail to comply with the applicable requi</w:t>
      </w:r>
      <w:r>
        <w:rPr>
          <w:rFonts w:ascii="Arial" w:hAnsi="Arial" w:cs="Arial"/>
        </w:rPr>
        <w:t xml:space="preserve">rements will be subject to the penalties set forth in the Criminal Foreign Exchange Regime set by Law No. 19,359. </w:t>
      </w:r>
    </w:p>
    <w:p w:rsidR="00000000" w:rsidRDefault="003E5AFF">
      <w:pPr>
        <w:pStyle w:val="NormalWeb"/>
        <w:spacing w:before="120" w:beforeAutospacing="0" w:after="0" w:afterAutospacing="0"/>
      </w:pPr>
      <w:r>
        <w:rPr>
          <w:rFonts w:ascii="Arial" w:hAnsi="Arial" w:cs="Arial"/>
        </w:rPr>
        <w:t>For a complete detail of all foreign exchange restrictions, investors should consult with their own legal and financial advisors. Additionall</w:t>
      </w:r>
      <w:r>
        <w:rPr>
          <w:rFonts w:ascii="Arial" w:hAnsi="Arial" w:cs="Arial"/>
        </w:rPr>
        <w:t xml:space="preserve">y, the review of Executive Order No. 616/2005, MEP Resolution No. 365/2005, Law No. 19,359 and their amending and supplementing regulations is suggested.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- 93 - </w:t>
      </w:r>
    </w:p>
    <w:p w:rsidR="00000000" w:rsidRDefault="003E5AFF">
      <w:pPr>
        <w:rPr>
          <w:rFonts w:eastAsia="Times New Roman" w:cs="Times New Roman"/>
        </w:rPr>
      </w:pPr>
      <w:r>
        <w:rPr>
          <w:rFonts w:eastAsia="Times New Roman" w:cs="Times New Roman"/>
        </w:rPr>
        <w:pict>
          <v:rect id="_x0000_i1127" style="width:441.9pt;height:3pt" o:hralign="center" o:hrstd="t" o:hrnoshade="t" o:hr="t" fillcolor="#999" stroked="f"/>
        </w:pict>
      </w:r>
    </w:p>
    <w:p w:rsidR="00000000" w:rsidRDefault="003E5AFF">
      <w:pPr>
        <w:pStyle w:val="Heading5"/>
        <w:rPr>
          <w:rFonts w:eastAsia="Times New Roman" w:cs="Times New Roman"/>
        </w:rPr>
      </w:pPr>
      <w:hyperlink r:id="rId14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Brazil </w:t>
      </w:r>
    </w:p>
    <w:p w:rsidR="00000000" w:rsidRDefault="003E5AFF">
      <w:pPr>
        <w:pStyle w:val="NormalWeb"/>
        <w:spacing w:before="120" w:beforeAutospacing="0" w:after="0" w:afterAutospacing="0"/>
      </w:pPr>
      <w:r>
        <w:rPr>
          <w:rFonts w:ascii="Arial" w:hAnsi="Arial" w:cs="Arial"/>
          <w:b/>
          <w:bCs/>
          <w:i/>
          <w:iCs/>
        </w:rPr>
        <w:t xml:space="preserve">General rules </w:t>
      </w:r>
    </w:p>
    <w:p w:rsidR="00000000" w:rsidRDefault="003E5AFF">
      <w:pPr>
        <w:pStyle w:val="NormalWeb"/>
        <w:spacing w:before="120" w:beforeAutospacing="0" w:after="0" w:afterAutospacing="0"/>
      </w:pPr>
      <w:r>
        <w:rPr>
          <w:rFonts w:ascii="Arial" w:hAnsi="Arial" w:cs="Arial"/>
        </w:rPr>
        <w:t xml:space="preserve">The basic law regulating foreign investment was enacted in 1962 (Law No. 4131) and was amended in 1964 (Law </w:t>
      </w:r>
      <w:r>
        <w:rPr>
          <w:rFonts w:ascii="Arial" w:hAnsi="Arial" w:cs="Arial"/>
        </w:rPr>
        <w:t xml:space="preserve">No. 4390). Foreign investment is not subject to government approvals or authorizations, and there are no requirements regarding minimum investment or local participation in capital (except in very limited cases such as in financial institutions, insurance </w:t>
      </w:r>
      <w:r>
        <w:rPr>
          <w:rFonts w:ascii="Arial" w:hAnsi="Arial" w:cs="Arial"/>
        </w:rPr>
        <w:t xml:space="preserve">companies and other entities subject to the regulating authority of the Central Bank of Brazil). Foreign participation, however, is limited or prohibited in limited areas of activities, including those detailed below. </w:t>
      </w:r>
    </w:p>
    <w:p w:rsidR="00000000" w:rsidRDefault="003E5AFF">
      <w:pPr>
        <w:pStyle w:val="NormalWeb"/>
        <w:spacing w:before="120" w:beforeAutospacing="0" w:after="0" w:afterAutospacing="0"/>
      </w:pPr>
      <w:r>
        <w:rPr>
          <w:rFonts w:ascii="Arial" w:hAnsi="Arial" w:cs="Arial"/>
        </w:rPr>
        <w:t>The Central Bank of Brazil is the age</w:t>
      </w:r>
      <w:r>
        <w:rPr>
          <w:rFonts w:ascii="Arial" w:hAnsi="Arial" w:cs="Arial"/>
        </w:rPr>
        <w:t>ncy responsible for: (i) managing the day-today control over foreign capital flow in and out of Brazil (risk capital and loans under any form); (ii) setting forth the administrative rules and regulations for registering investments; (iii) monitoring foreig</w:t>
      </w:r>
      <w:r>
        <w:rPr>
          <w:rFonts w:ascii="Arial" w:hAnsi="Arial" w:cs="Arial"/>
        </w:rPr>
        <w:t>n currency remittances; and (iv) allowing repatriation of funds. It has no jurisdiction over the quality of the investment and cannot restrict the remittances of funds resulting from the risk capital or loan, which are based on a registration with the Cent</w:t>
      </w:r>
      <w:r>
        <w:rPr>
          <w:rFonts w:ascii="Arial" w:hAnsi="Arial" w:cs="Arial"/>
        </w:rPr>
        <w:t xml:space="preserve">ral Bank, through its Electronic System of Registration. </w:t>
      </w:r>
    </w:p>
    <w:p w:rsidR="00000000" w:rsidRDefault="003E5AFF">
      <w:pPr>
        <w:pStyle w:val="NormalWeb"/>
        <w:spacing w:before="120" w:beforeAutospacing="0" w:after="0" w:afterAutospacing="0"/>
      </w:pPr>
      <w:r>
        <w:rPr>
          <w:rFonts w:ascii="Arial" w:hAnsi="Arial" w:cs="Arial"/>
        </w:rPr>
        <w:t>In the event of a serious balance of payment deficit, the Central Bank may limit profit remittances and prohibit remittances as capital repatriation for a limited period of time. This limitation, ho</w:t>
      </w:r>
      <w:r>
        <w:rPr>
          <w:rFonts w:ascii="Arial" w:hAnsi="Arial" w:cs="Arial"/>
        </w:rPr>
        <w:t xml:space="preserve">wever, has never been applied even during Brazil_s most difficult balance of payments problems. </w:t>
      </w:r>
    </w:p>
    <w:p w:rsidR="00000000" w:rsidRDefault="003E5AFF">
      <w:pPr>
        <w:pStyle w:val="NormalWeb"/>
        <w:spacing w:before="120" w:beforeAutospacing="0" w:after="0" w:afterAutospacing="0"/>
      </w:pPr>
      <w:r>
        <w:rPr>
          <w:rFonts w:ascii="Arial" w:hAnsi="Arial" w:cs="Arial"/>
        </w:rPr>
        <w:t>Foreign investments in currency must be officially channeled through financial institutions duly authorized to deal in foreign exchange (e.g. commercial banks)</w:t>
      </w:r>
      <w:r>
        <w:rPr>
          <w:rFonts w:ascii="Arial" w:hAnsi="Arial" w:cs="Arial"/>
        </w:rPr>
        <w:t>. Foreign currency must be converted into Brazilian currency and vice-versa through the execution of an exchange contract with a commercial bank. Foreign investments may also be made through the contribution of assets and equipment intended for the local p</w:t>
      </w:r>
      <w:r>
        <w:rPr>
          <w:rFonts w:ascii="Arial" w:hAnsi="Arial" w:cs="Arial"/>
        </w:rPr>
        <w:t xml:space="preserve">roduction of goods or services. </w:t>
      </w:r>
    </w:p>
    <w:p w:rsidR="00000000" w:rsidRDefault="003E5AFF">
      <w:pPr>
        <w:pStyle w:val="NormalWeb"/>
        <w:spacing w:before="240" w:beforeAutospacing="0" w:after="0" w:afterAutospacing="0"/>
      </w:pPr>
      <w:r>
        <w:rPr>
          <w:rFonts w:ascii="Arial" w:hAnsi="Arial" w:cs="Arial"/>
          <w:b/>
          <w:bCs/>
          <w:i/>
          <w:iCs/>
        </w:rPr>
        <w:t xml:space="preserve">Foreign exchange market </w:t>
      </w:r>
    </w:p>
    <w:p w:rsidR="00000000" w:rsidRDefault="003E5AFF">
      <w:pPr>
        <w:pStyle w:val="NormalWeb"/>
        <w:spacing w:before="120" w:beforeAutospacing="0" w:after="0" w:afterAutospacing="0"/>
      </w:pPr>
      <w:r>
        <w:rPr>
          <w:rFonts w:ascii="Arial" w:hAnsi="Arial" w:cs="Arial"/>
        </w:rPr>
        <w:t>Brazil previously operated with two official exchange rate markets, the commercial and floating rate markets, both of which were regulated and monitored by the Central Bank. Participation in a parti</w:t>
      </w:r>
      <w:r>
        <w:rPr>
          <w:rFonts w:ascii="Arial" w:hAnsi="Arial" w:cs="Arial"/>
        </w:rPr>
        <w:t xml:space="preserve">cular market was determined by the nature of the remittance of funds to be made. </w:t>
      </w:r>
    </w:p>
    <w:p w:rsidR="00000000" w:rsidRDefault="003E5AFF">
      <w:pPr>
        <w:pStyle w:val="NormalWeb"/>
        <w:spacing w:before="120" w:beforeAutospacing="0" w:after="0" w:afterAutospacing="0"/>
      </w:pPr>
      <w:r>
        <w:rPr>
          <w:rFonts w:ascii="Arial" w:hAnsi="Arial" w:cs="Arial"/>
        </w:rPr>
        <w:t>In March, 2005 the Central Bank unified both markets and enacted more flexible exchange rules. As a consequence, remittances of funds in and out of Brazil now flow through on</w:t>
      </w:r>
      <w:r>
        <w:rPr>
          <w:rFonts w:ascii="Arial" w:hAnsi="Arial" w:cs="Arial"/>
        </w:rPr>
        <w:t xml:space="preserve">e single exchange market regardless of the nature of the payments. </w:t>
      </w:r>
    </w:p>
    <w:p w:rsidR="00000000" w:rsidRDefault="003E5AFF">
      <w:pPr>
        <w:pStyle w:val="NormalWeb"/>
        <w:spacing w:before="240" w:beforeAutospacing="0" w:after="0" w:afterAutospacing="0"/>
      </w:pPr>
      <w:r>
        <w:rPr>
          <w:rFonts w:ascii="Arial" w:hAnsi="Arial" w:cs="Arial"/>
          <w:b/>
          <w:bCs/>
          <w:i/>
          <w:iCs/>
        </w:rPr>
        <w:t xml:space="preserve">Foreign investment registration </w:t>
      </w:r>
    </w:p>
    <w:p w:rsidR="00000000" w:rsidRDefault="003E5AFF">
      <w:pPr>
        <w:pStyle w:val="NormalWeb"/>
        <w:spacing w:before="120" w:beforeAutospacing="0" w:after="0" w:afterAutospacing="0"/>
      </w:pPr>
      <w:r>
        <w:rPr>
          <w:rFonts w:ascii="Arial" w:hAnsi="Arial" w:cs="Arial"/>
        </w:rPr>
        <w:t>Foreign investments in currency or in assets and equipment must be registered with the Central Bank of Brazil. Such registration grants the foreign investo</w:t>
      </w:r>
      <w:r>
        <w:rPr>
          <w:rFonts w:ascii="Arial" w:hAnsi="Arial" w:cs="Arial"/>
        </w:rPr>
        <w:t>r the right to remit dividends and interest and to repatriate the investment. As of August 2000, foreign investments in capital must be registered with the Electronic System of Registration of the online data system of the Central Bank of Brazil (the _SISB</w:t>
      </w:r>
      <w:r>
        <w:rPr>
          <w:rFonts w:ascii="Arial" w:hAnsi="Arial" w:cs="Arial"/>
        </w:rPr>
        <w:t xml:space="preserve">ACEN Data System_). Since February 2001, foreign loans are also subject to registration in the SISBACEN Data System. </w:t>
      </w:r>
    </w:p>
    <w:p w:rsidR="00000000" w:rsidRDefault="003E5AFF">
      <w:pPr>
        <w:pStyle w:val="NormalWeb"/>
        <w:spacing w:before="120" w:beforeAutospacing="0" w:after="0" w:afterAutospacing="0"/>
      </w:pPr>
      <w:r>
        <w:rPr>
          <w:rFonts w:ascii="Arial" w:hAnsi="Arial" w:cs="Arial"/>
        </w:rPr>
        <w:t>The amount registered with the Central Bank of Brazil as foreign investment includes the sum of (i) the original investment (whether in ca</w:t>
      </w:r>
      <w:r>
        <w:rPr>
          <w:rFonts w:ascii="Arial" w:hAnsi="Arial" w:cs="Arial"/>
        </w:rPr>
        <w:t xml:space="preserve">sh or in kind); (ii) subsequent additional investments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- 94 - </w:t>
      </w:r>
    </w:p>
    <w:p w:rsidR="00000000" w:rsidRDefault="003E5AFF">
      <w:pPr>
        <w:rPr>
          <w:rFonts w:eastAsia="Times New Roman" w:cs="Times New Roman"/>
        </w:rPr>
      </w:pPr>
      <w:r>
        <w:rPr>
          <w:rFonts w:eastAsia="Times New Roman" w:cs="Times New Roman"/>
        </w:rPr>
        <w:pict>
          <v:rect id="_x0000_i1128" style="width:441.9pt;height:3pt" o:hralign="center" o:hrstd="t" o:hrnoshade="t" o:hr="t" fillcolor="#999" stroked="f"/>
        </w:pict>
      </w:r>
    </w:p>
    <w:p w:rsidR="00000000" w:rsidRDefault="003E5AFF">
      <w:pPr>
        <w:pStyle w:val="Heading5"/>
        <w:rPr>
          <w:rFonts w:eastAsia="Times New Roman" w:cs="Times New Roman"/>
        </w:rPr>
      </w:pPr>
      <w:hyperlink r:id="rId14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(including the capitalization of credits); and (iii) eventual profit reinvestments. This aggregate amount constitutes the basis for repatriation of capital and computation</w:t>
      </w:r>
      <w:r>
        <w:rPr>
          <w:rFonts w:ascii="Arial" w:hAnsi="Arial" w:cs="Arial"/>
        </w:rPr>
        <w:t xml:space="preserve"> of any eventual capital gain tax, as explained below. </w:t>
      </w:r>
    </w:p>
    <w:p w:rsidR="00000000" w:rsidRDefault="003E5AFF">
      <w:pPr>
        <w:pStyle w:val="NormalWeb"/>
        <w:spacing w:before="240" w:beforeAutospacing="0" w:after="0" w:afterAutospacing="0"/>
      </w:pPr>
      <w:r>
        <w:rPr>
          <w:rFonts w:ascii="Arial" w:hAnsi="Arial" w:cs="Arial"/>
          <w:b/>
          <w:bCs/>
          <w:i/>
          <w:iCs/>
        </w:rPr>
        <w:t xml:space="preserve">Profit remittance </w:t>
      </w:r>
    </w:p>
    <w:p w:rsidR="00000000" w:rsidRDefault="003E5AFF">
      <w:pPr>
        <w:pStyle w:val="NormalWeb"/>
        <w:spacing w:before="120" w:beforeAutospacing="0" w:after="0" w:afterAutospacing="0"/>
      </w:pPr>
      <w:r>
        <w:rPr>
          <w:rFonts w:ascii="Arial" w:hAnsi="Arial" w:cs="Arial"/>
        </w:rPr>
        <w:t>Since January 1996, profits paid by a Brazilian company to a foreign investor are not subject to any withholding tax. The foreign currency to be remitted must be purchased in the exchange market directly from any commercial bank, upon presentation of the c</w:t>
      </w:r>
      <w:r>
        <w:rPr>
          <w:rFonts w:ascii="Arial" w:hAnsi="Arial" w:cs="Arial"/>
        </w:rPr>
        <w:t>orporate act declaring the dividends, the pertinent financial statements, proof of the tax payment and the registration in the SISBACEN Data System. No further approval or consent of the Central Bank is necessary and there is no limitation on the amounts t</w:t>
      </w:r>
      <w:r>
        <w:rPr>
          <w:rFonts w:ascii="Arial" w:hAnsi="Arial" w:cs="Arial"/>
        </w:rPr>
        <w:t xml:space="preserve">o be remitted if the original investment has been registered with the Central Bank as described above. </w:t>
      </w:r>
    </w:p>
    <w:p w:rsidR="00000000" w:rsidRDefault="003E5AFF">
      <w:pPr>
        <w:pStyle w:val="NormalWeb"/>
        <w:spacing w:before="240" w:beforeAutospacing="0" w:after="0" w:afterAutospacing="0"/>
      </w:pPr>
      <w:r>
        <w:rPr>
          <w:rFonts w:ascii="Arial" w:hAnsi="Arial" w:cs="Arial"/>
          <w:b/>
          <w:bCs/>
          <w:i/>
          <w:iCs/>
        </w:rPr>
        <w:t xml:space="preserve">Repatriation of capital </w:t>
      </w:r>
    </w:p>
    <w:p w:rsidR="00000000" w:rsidRDefault="003E5AFF">
      <w:pPr>
        <w:pStyle w:val="NormalWeb"/>
        <w:spacing w:before="120" w:beforeAutospacing="0" w:after="0" w:afterAutospacing="0"/>
      </w:pPr>
      <w:r>
        <w:rPr>
          <w:rFonts w:ascii="Arial" w:hAnsi="Arial" w:cs="Arial"/>
        </w:rPr>
        <w:t>Foreign capital invested in Brazil may be repatriated at any time and there is no minimum period of investment. Repatriation of</w:t>
      </w:r>
      <w:r>
        <w:rPr>
          <w:rFonts w:ascii="Arial" w:hAnsi="Arial" w:cs="Arial"/>
        </w:rPr>
        <w:t xml:space="preserve"> the investment within the amount stated in the of the SISBACEN Data System may be made free of any tax or authorization. In principle, any excess over the registered amount will be treated as a capital gain, subject to a 15% withholding tax (such rate is </w:t>
      </w:r>
      <w:r>
        <w:rPr>
          <w:rFonts w:ascii="Arial" w:hAnsi="Arial" w:cs="Arial"/>
        </w:rPr>
        <w:t xml:space="preserve">increased to 25% in case of investors residing in tax havens) and prior (and discretionary) approval of the Central Bank. </w:t>
      </w:r>
    </w:p>
    <w:p w:rsidR="00000000" w:rsidRDefault="003E5AFF">
      <w:pPr>
        <w:pStyle w:val="NormalWeb"/>
        <w:spacing w:before="120" w:beforeAutospacing="0" w:after="0" w:afterAutospacing="0"/>
      </w:pPr>
      <w:r>
        <w:rPr>
          <w:rFonts w:ascii="Arial" w:hAnsi="Arial" w:cs="Arial"/>
        </w:rPr>
        <w:t xml:space="preserve">In accordance with an common practice of the Central Bank of Brazil, whenever the total or partial repatriation of capital is sought </w:t>
      </w:r>
      <w:r>
        <w:rPr>
          <w:rFonts w:ascii="Arial" w:hAnsi="Arial" w:cs="Arial"/>
        </w:rPr>
        <w:t>upon the sale of an investment, the book value of the foreign investment (based on the financial statements of the company which received the investment) will be compared against the amount registered in foreign currency. If the book value is lower than th</w:t>
      </w:r>
      <w:r>
        <w:rPr>
          <w:rFonts w:ascii="Arial" w:hAnsi="Arial" w:cs="Arial"/>
        </w:rPr>
        <w:t xml:space="preserve">e registered foreign investment, the remittance abroad of any amount exceeding the book value may be understood by the Central Bank as a capital gain, and, as such, subject to a 15% tax. </w:t>
      </w:r>
    </w:p>
    <w:p w:rsidR="00000000" w:rsidRDefault="003E5AFF">
      <w:pPr>
        <w:pStyle w:val="NormalWeb"/>
        <w:spacing w:before="240" w:beforeAutospacing="0" w:after="0" w:afterAutospacing="0"/>
      </w:pPr>
      <w:r>
        <w:rPr>
          <w:rFonts w:ascii="Arial" w:hAnsi="Arial" w:cs="Arial"/>
          <w:b/>
          <w:bCs/>
          <w:i/>
          <w:iCs/>
        </w:rPr>
        <w:t xml:space="preserve">Other forms of funding Brazilian subsidiaries </w:t>
      </w:r>
    </w:p>
    <w:p w:rsidR="00000000" w:rsidRDefault="003E5AFF">
      <w:pPr>
        <w:pStyle w:val="NormalWeb"/>
        <w:spacing w:before="120" w:beforeAutospacing="0" w:after="0" w:afterAutospacing="0"/>
      </w:pPr>
      <w:r>
        <w:rPr>
          <w:rFonts w:ascii="Arial" w:hAnsi="Arial" w:cs="Arial"/>
        </w:rPr>
        <w:t>The Brazilian foreign</w:t>
      </w:r>
      <w:r>
        <w:rPr>
          <w:rFonts w:ascii="Arial" w:hAnsi="Arial" w:cs="Arial"/>
        </w:rPr>
        <w:t xml:space="preserve"> debt challenges, combined with other circumstances, forced the market to find various ways to fund Brazilian companies through the issuance of notes and bonds, as well as commercial paper placed outside Brazil under private and public placements. In recen</w:t>
      </w:r>
      <w:r>
        <w:rPr>
          <w:rFonts w:ascii="Arial" w:hAnsi="Arial" w:cs="Arial"/>
        </w:rPr>
        <w:t>t years, the Central Bank has authorized a great volume of issues of bonds, fixed rate notes, floating rate notes, commercial papers and fixed or floating rate certificates of deposit, to be traded abroad. Nonetheless, foreign loans with maturity of less t</w:t>
      </w:r>
      <w:r>
        <w:rPr>
          <w:rFonts w:ascii="Arial" w:hAnsi="Arial" w:cs="Arial"/>
        </w:rPr>
        <w:t>han ninety days are currently subject to a financial transactions tax. Interest paid to foreigners is subject to a 15% withholding tax (such rate is increased to 25% in case of creditors residing in tax heavens). Another source of funding has been the issu</w:t>
      </w:r>
      <w:r>
        <w:rPr>
          <w:rFonts w:ascii="Arial" w:hAnsi="Arial" w:cs="Arial"/>
        </w:rPr>
        <w:t xml:space="preserve">e of ADRs_American Depositary Receipts and IDRs_International Depositary Receipts. </w:t>
      </w:r>
    </w:p>
    <w:p w:rsidR="00000000" w:rsidRDefault="003E5AFF">
      <w:pPr>
        <w:pStyle w:val="NormalWeb"/>
        <w:spacing w:before="240" w:beforeAutospacing="0" w:after="0" w:afterAutospacing="0"/>
      </w:pPr>
      <w:r>
        <w:rPr>
          <w:rFonts w:ascii="Arial" w:hAnsi="Arial" w:cs="Arial"/>
          <w:b/>
          <w:bCs/>
          <w:sz w:val="24"/>
          <w:szCs w:val="24"/>
        </w:rPr>
        <w:t xml:space="preserve">Peru </w:t>
      </w:r>
    </w:p>
    <w:p w:rsidR="00000000" w:rsidRDefault="003E5AFF">
      <w:pPr>
        <w:pStyle w:val="NormalWeb"/>
        <w:spacing w:before="120" w:beforeAutospacing="0" w:after="0" w:afterAutospacing="0"/>
      </w:pPr>
      <w:r>
        <w:rPr>
          <w:rFonts w:ascii="Arial" w:hAnsi="Arial" w:cs="Arial"/>
        </w:rPr>
        <w:t xml:space="preserve">At the beginning of the 1990s, former President Alberto Fujimori liberalized price and wage controls in the private sector and eliminated all restrictions on capital </w:t>
      </w:r>
      <w:r>
        <w:rPr>
          <w:rFonts w:ascii="Arial" w:hAnsi="Arial" w:cs="Arial"/>
        </w:rPr>
        <w:t xml:space="preserve">flows. Since March 1991, there have been no exchange controls in Peru and all foreign exchange transactions are based on market rates. Prior to March 1991, the Peruvian foreign exchange market consisted of several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- 95 - </w:t>
      </w:r>
    </w:p>
    <w:p w:rsidR="00000000" w:rsidRDefault="003E5AFF">
      <w:pPr>
        <w:rPr>
          <w:rFonts w:eastAsia="Times New Roman" w:cs="Times New Roman"/>
        </w:rPr>
      </w:pPr>
      <w:r>
        <w:rPr>
          <w:rFonts w:eastAsia="Times New Roman" w:cs="Times New Roman"/>
        </w:rPr>
        <w:pict>
          <v:rect id="_x0000_i1129" style="width:441.9pt;height:3pt" o:hralign="center" o:hrstd="t" o:hrnoshade="t" o:hr="t" fillcolor="#999" stroked="f"/>
        </w:pict>
      </w:r>
    </w:p>
    <w:p w:rsidR="00000000" w:rsidRDefault="003E5AFF">
      <w:pPr>
        <w:pStyle w:val="Heading5"/>
        <w:rPr>
          <w:rFonts w:eastAsia="Times New Roman" w:cs="Times New Roman"/>
        </w:rPr>
      </w:pPr>
      <w:hyperlink r:id="rId14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alternative exchange rates. During the last two decades, the Peruvian currency has experienced a significant number of large devaluations and Peru has consequently adopted and operated under various exchange rat</w:t>
      </w:r>
      <w:r>
        <w:rPr>
          <w:rFonts w:ascii="Arial" w:hAnsi="Arial" w:cs="Arial"/>
        </w:rPr>
        <w:t>e control practices and exchange rate determination policies, ranging from strict control over exchange rates to market-determination of rates. Current Peruvian regulations on foreign investment allow the foreign holders of equity shares and fixed income i</w:t>
      </w:r>
      <w:r>
        <w:rPr>
          <w:rFonts w:ascii="Arial" w:hAnsi="Arial" w:cs="Arial"/>
        </w:rPr>
        <w:t xml:space="preserve">nstruments to receive and repatriate 100% of the proceeds of the investment. Such investors are allowed to purchase foreign exchange at free market exchange rates through any member of the Peruvian banking system. </w:t>
      </w:r>
    </w:p>
    <w:p w:rsidR="00000000" w:rsidRDefault="003E5AFF">
      <w:pPr>
        <w:pStyle w:val="NormalWeb"/>
        <w:spacing w:before="240" w:beforeAutospacing="0" w:after="0" w:afterAutospacing="0"/>
      </w:pPr>
      <w:r>
        <w:rPr>
          <w:rFonts w:ascii="Arial" w:hAnsi="Arial" w:cs="Arial"/>
          <w:b/>
          <w:bCs/>
          <w:sz w:val="24"/>
          <w:szCs w:val="24"/>
        </w:rPr>
        <w:t xml:space="preserve">Colombia </w:t>
      </w:r>
    </w:p>
    <w:p w:rsidR="00000000" w:rsidRDefault="003E5AFF">
      <w:pPr>
        <w:pStyle w:val="NormalWeb"/>
        <w:spacing w:before="120" w:beforeAutospacing="0" w:after="0" w:afterAutospacing="0"/>
      </w:pPr>
      <w:r>
        <w:rPr>
          <w:rFonts w:ascii="Arial" w:hAnsi="Arial" w:cs="Arial"/>
        </w:rPr>
        <w:t>Although the exchange market fl</w:t>
      </w:r>
      <w:r>
        <w:rPr>
          <w:rFonts w:ascii="Arial" w:hAnsi="Arial" w:cs="Arial"/>
        </w:rPr>
        <w:t xml:space="preserve">ows freely, there are exchange regulations which regulate the exchange operations that must be channeled through the exchange market, the procedures for doing so and penalties for infringement. </w:t>
      </w:r>
    </w:p>
    <w:p w:rsidR="00000000" w:rsidRDefault="003E5AFF">
      <w:pPr>
        <w:pStyle w:val="NormalWeb"/>
        <w:spacing w:before="120" w:beforeAutospacing="0" w:after="0" w:afterAutospacing="0"/>
      </w:pPr>
      <w:r>
        <w:rPr>
          <w:rFonts w:ascii="Arial" w:hAnsi="Arial" w:cs="Arial"/>
        </w:rPr>
        <w:t>The rules applicable on exchange matters are issued jointly b</w:t>
      </w:r>
      <w:r>
        <w:rPr>
          <w:rFonts w:ascii="Arial" w:hAnsi="Arial" w:cs="Arial"/>
        </w:rPr>
        <w:t>y the Colombian congress, the government and the Central Bank. The primary regulations on foreign investment and international exchange (_Exchange Regulations_) are set forth in Law 9 of 1991, Decree 2080 of 2000, External Resolution No. 8 of 2000 and Regu</w:t>
      </w:r>
      <w:r>
        <w:rPr>
          <w:rFonts w:ascii="Arial" w:hAnsi="Arial" w:cs="Arial"/>
        </w:rPr>
        <w:t xml:space="preserve">lation DCIN-83. The law requires all foreign investment to be registered with the Central Bank. </w:t>
      </w:r>
    </w:p>
    <w:p w:rsidR="00000000" w:rsidRDefault="003E5AFF">
      <w:pPr>
        <w:pStyle w:val="NormalWeb"/>
        <w:spacing w:before="120" w:beforeAutospacing="0" w:after="0" w:afterAutospacing="0"/>
      </w:pPr>
      <w:r>
        <w:rPr>
          <w:rFonts w:ascii="Arial" w:hAnsi="Arial" w:cs="Arial"/>
        </w:rPr>
        <w:t>The Central Bank is responsible for Exchange Regulations and managing, recording and authorizing changes in foreign investment. In turn, the Superintendency of</w:t>
      </w:r>
      <w:r>
        <w:rPr>
          <w:rFonts w:ascii="Arial" w:hAnsi="Arial" w:cs="Arial"/>
        </w:rPr>
        <w:t xml:space="preserve"> Companies is responsible for overseeing compliance with the provisions on foreign investment set forth in the Exchange Regulations. Such foreign investment is divided into (1) direct foreign investment, and (2) portfolio foreign investment. </w:t>
      </w:r>
    </w:p>
    <w:p w:rsidR="00000000" w:rsidRDefault="003E5AFF">
      <w:pPr>
        <w:pStyle w:val="NormalWeb"/>
        <w:spacing w:before="120" w:beforeAutospacing="0" w:after="0" w:afterAutospacing="0"/>
      </w:pPr>
      <w:r>
        <w:rPr>
          <w:rFonts w:ascii="Arial" w:hAnsi="Arial" w:cs="Arial"/>
        </w:rPr>
        <w:t>The foreign i</w:t>
      </w:r>
      <w:r>
        <w:rPr>
          <w:rFonts w:ascii="Arial" w:hAnsi="Arial" w:cs="Arial"/>
        </w:rPr>
        <w:t xml:space="preserve">nvestment registered with the Central Bank grants the investor the following rights, known as _exchange rights_: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possibility of repatriating the profits from a registered investment.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possibility of reinvesting such profits in Colombia.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possibility of repatriating sums resulting from the transfer of the investment within the country, the liquidation of the company or the portfolio and/or the </w:t>
            </w:r>
            <w:r>
              <w:rPr>
                <w:rFonts w:ascii="Arial" w:hAnsi="Arial" w:cs="Arial"/>
              </w:rPr>
              <w:t xml:space="preserve">reduction of the equity of the recipient company. </w:t>
            </w:r>
          </w:p>
        </w:tc>
      </w:tr>
    </w:tbl>
    <w:p w:rsidR="00000000" w:rsidRDefault="003E5AFF">
      <w:pPr>
        <w:pStyle w:val="NormalWeb"/>
        <w:spacing w:before="240" w:beforeAutospacing="0" w:after="0" w:afterAutospacing="0"/>
      </w:pPr>
      <w:r>
        <w:rPr>
          <w:rFonts w:ascii="Arial" w:hAnsi="Arial" w:cs="Arial"/>
          <w:b/>
          <w:bCs/>
          <w:i/>
          <w:iCs/>
        </w:rPr>
        <w:t xml:space="preserve">Foreign indebtedness </w:t>
      </w:r>
    </w:p>
    <w:p w:rsidR="00000000" w:rsidRDefault="003E5AFF">
      <w:pPr>
        <w:pStyle w:val="NormalWeb"/>
        <w:spacing w:before="120" w:beforeAutospacing="0" w:after="0" w:afterAutospacing="0"/>
      </w:pPr>
      <w:r>
        <w:rPr>
          <w:rFonts w:ascii="Arial" w:hAnsi="Arial" w:cs="Arial"/>
        </w:rPr>
        <w:t>The foreign currency received or paid in connection with the incurrence of indebtedness must be transacted through the exchange market. In addition, prior to or simultaneously with an</w:t>
      </w:r>
      <w:r>
        <w:rPr>
          <w:rFonts w:ascii="Arial" w:hAnsi="Arial" w:cs="Arial"/>
        </w:rPr>
        <w:t xml:space="preserve">y disbursement, amounts received or paid in respect of indebtedness must be reported to the Central Bank through financial intermediaries. </w:t>
      </w:r>
    </w:p>
    <w:p w:rsidR="00000000" w:rsidRDefault="003E5AFF">
      <w:pPr>
        <w:pStyle w:val="NormalWeb"/>
        <w:spacing w:before="120" w:beforeAutospacing="0" w:after="0" w:afterAutospacing="0"/>
      </w:pPr>
      <w:r>
        <w:rPr>
          <w:rFonts w:ascii="Arial" w:hAnsi="Arial" w:cs="Arial"/>
        </w:rPr>
        <w:t>Up until October 28, 2011, Colombian residents could only obtain credit in foreign currency from foreign financial i</w:t>
      </w:r>
      <w:r>
        <w:rPr>
          <w:rFonts w:ascii="Arial" w:hAnsi="Arial" w:cs="Arial"/>
        </w:rPr>
        <w:t>nstitutions, foreign market intermediaries or through the placement of securities in international capital markets. Since that date, the Central Bank now permits the incurrence of indebtedness with any foreign third party, including related parties. Colomb</w:t>
      </w:r>
      <w:r>
        <w:rPr>
          <w:rFonts w:ascii="Arial" w:hAnsi="Arial" w:cs="Arial"/>
        </w:rPr>
        <w:t xml:space="preserve">ian residents may also grant loans in foreign currency to non- residents.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- 96 - </w:t>
      </w:r>
    </w:p>
    <w:p w:rsidR="00000000" w:rsidRDefault="003E5AFF">
      <w:pPr>
        <w:rPr>
          <w:rFonts w:eastAsia="Times New Roman" w:cs="Times New Roman"/>
        </w:rPr>
      </w:pPr>
      <w:r>
        <w:rPr>
          <w:rFonts w:eastAsia="Times New Roman" w:cs="Times New Roman"/>
        </w:rPr>
        <w:pict>
          <v:rect id="_x0000_i1130" style="width:441.9pt;height:3pt" o:hralign="center" o:hrstd="t" o:hrnoshade="t" o:hr="t" fillcolor="#999" stroked="f"/>
        </w:pict>
      </w:r>
    </w:p>
    <w:p w:rsidR="00000000" w:rsidRDefault="003E5AFF">
      <w:pPr>
        <w:pStyle w:val="Heading5"/>
        <w:rPr>
          <w:rFonts w:eastAsia="Times New Roman" w:cs="Times New Roman"/>
        </w:rPr>
      </w:pPr>
      <w:hyperlink r:id="rId14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7" w:name="rom343004_16"/>
      <w:bookmarkEnd w:id="17"/>
      <w:r>
        <w:rPr>
          <w:rFonts w:ascii="Arial" w:hAnsi="Arial" w:cs="Arial"/>
          <w:b/>
          <w:bCs/>
          <w:sz w:val="36"/>
          <w:szCs w:val="36"/>
        </w:rPr>
        <w:t xml:space="preserve">Selected consolidated financial data and other information </w:t>
      </w:r>
    </w:p>
    <w:p w:rsidR="00000000" w:rsidRDefault="003E5AFF">
      <w:pPr>
        <w:pStyle w:val="NormalWeb"/>
        <w:spacing w:before="120" w:beforeAutospacing="0" w:after="0" w:afterAutospacing="0"/>
      </w:pPr>
      <w:r>
        <w:rPr>
          <w:rFonts w:ascii="Arial" w:hAnsi="Arial" w:cs="Arial"/>
        </w:rPr>
        <w:t>The following tables set forth our sele</w:t>
      </w:r>
      <w:r>
        <w:rPr>
          <w:rFonts w:ascii="Arial" w:hAnsi="Arial" w:cs="Arial"/>
        </w:rPr>
        <w:t>cted consolidated financial information under the International Financial Reporting Standards (_IFRS_) issued by the International Accounting Standards Board (the _IASB_). The financial information as of and for the three months ended March 31, 2012 and 20</w:t>
      </w:r>
      <w:r>
        <w:rPr>
          <w:rFonts w:ascii="Arial" w:hAnsi="Arial" w:cs="Arial"/>
        </w:rPr>
        <w:t>11 has been derived from our Unaudited Interim Consolidated Financial Statements included elsewhere in this prospectus. The financial information as of December 31, 2011 and 2010 and for the years ended December 31, 2011, 2010 and 2009 has been derived fro</w:t>
      </w:r>
      <w:r>
        <w:rPr>
          <w:rFonts w:ascii="Arial" w:hAnsi="Arial" w:cs="Arial"/>
        </w:rPr>
        <w:t xml:space="preserve">m our Audited Consolidated Financial Statements included elsewhere in this prospectus, which have been audited by PricewaterhouseCoopers </w:t>
      </w:r>
      <w:r>
        <w:rPr>
          <w:rFonts w:ascii="Arial" w:hAnsi="Arial" w:cs="Arial"/>
          <w:i/>
          <w:iCs/>
        </w:rPr>
        <w:t>Consultores, Auditores y Compa_ia Limitada</w:t>
      </w:r>
      <w:r>
        <w:rPr>
          <w:rFonts w:ascii="Arial" w:hAnsi="Arial" w:cs="Arial"/>
        </w:rPr>
        <w:t>, an independent registered public accounting firm. We maintain our books and</w:t>
      </w:r>
      <w:r>
        <w:rPr>
          <w:rFonts w:ascii="Arial" w:hAnsi="Arial" w:cs="Arial"/>
        </w:rPr>
        <w:t xml:space="preserve"> records in Chilean pesos and prepare consolidated financial statements in accordance with IFRS. Our date of adoption of IFRS was January 1, 2010. The following financial and operating information should be read in conjunction with, and is qualified in its</w:t>
      </w:r>
      <w:r>
        <w:rPr>
          <w:rFonts w:ascii="Arial" w:hAnsi="Arial" w:cs="Arial"/>
        </w:rPr>
        <w:t xml:space="preserve"> entirety by reference to, our Unaudited Interim Consolidated Financial Statements, our Audited Consolidated Financial Statements and the notes thereto included elsewhere in this prospectus. </w:t>
      </w:r>
    </w:p>
    <w:p w:rsidR="00000000" w:rsidRDefault="003E5AFF">
      <w:pPr>
        <w:pStyle w:val="NormalWeb"/>
        <w:spacing w:before="120" w:beforeAutospacing="0" w:after="0" w:afterAutospacing="0"/>
      </w:pPr>
      <w:r>
        <w:rPr>
          <w:rFonts w:ascii="Arial" w:hAnsi="Arial" w:cs="Arial"/>
        </w:rPr>
        <w:t>Unless otherwise noted, U.S. dollar amounts have been translated</w:t>
      </w:r>
      <w:r>
        <w:rPr>
          <w:rFonts w:ascii="Arial" w:hAnsi="Arial" w:cs="Arial"/>
        </w:rPr>
        <w:t xml:space="preserve"> from Chilean pesos based on the d_lar </w:t>
      </w:r>
      <w:r>
        <w:rPr>
          <w:rFonts w:ascii="Arial" w:hAnsi="Arial" w:cs="Arial"/>
          <w:i/>
          <w:iCs/>
        </w:rPr>
        <w:t>observado</w:t>
      </w:r>
      <w:r>
        <w:rPr>
          <w:rFonts w:ascii="Arial" w:hAnsi="Arial" w:cs="Arial"/>
        </w:rPr>
        <w:t>, or observed exchange rate, of Ch$487.44 per U.S.$1.00 as of March 30, 2012 (the latest available date, as March 31, 2012 fell on a non-business day), as reported by the Chilean Central Bank. We make no repr</w:t>
      </w:r>
      <w:r>
        <w:rPr>
          <w:rFonts w:ascii="Arial" w:hAnsi="Arial" w:cs="Arial"/>
        </w:rPr>
        <w:t xml:space="preserve">esentation that the Chilean peso or the U.S. dollar amounts referred to herein actually represent, could have been or could be converted into U.S. dollars or Chilean pesos, as the case may be, at the rates indicated, at any particular rate or at all.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- 97 - </w:t>
      </w:r>
    </w:p>
    <w:p w:rsidR="00000000" w:rsidRDefault="003E5AFF">
      <w:pPr>
        <w:rPr>
          <w:rFonts w:eastAsia="Times New Roman" w:cs="Times New Roman"/>
        </w:rPr>
      </w:pPr>
      <w:r>
        <w:rPr>
          <w:rFonts w:eastAsia="Times New Roman" w:cs="Times New Roman"/>
        </w:rPr>
        <w:pict>
          <v:rect id="_x0000_i1131" style="width:441.9pt;height:3pt" o:hralign="center" o:hrstd="t" o:hrnoshade="t" o:hr="t" fillcolor="#999" stroked="f"/>
        </w:pict>
      </w:r>
    </w:p>
    <w:p w:rsidR="00000000" w:rsidRDefault="003E5AFF">
      <w:pPr>
        <w:pStyle w:val="Heading5"/>
        <w:rPr>
          <w:rFonts w:eastAsia="Times New Roman" w:cs="Times New Roman"/>
        </w:rPr>
      </w:pPr>
      <w:hyperlink r:id="rId14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In our opinion, the selected consolidated financial data presented in the tables below includes all adjustments necessary to present fairly in all material respects our financial condition and results of operati</w:t>
      </w:r>
      <w:r>
        <w:rPr>
          <w:rFonts w:ascii="Arial" w:hAnsi="Arial" w:cs="Arial"/>
        </w:rPr>
        <w:t xml:space="preserve">ons at the dates and the periods presented. The results of operations for the three months ended March 31, 2012 and for the years ended December 31, 2011, 2010 and 2009 are not necessarily indicative of future performance.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454"/>
        <w:gridCol w:w="131"/>
        <w:gridCol w:w="66"/>
        <w:gridCol w:w="990"/>
        <w:gridCol w:w="131"/>
        <w:gridCol w:w="131"/>
        <w:gridCol w:w="56"/>
        <w:gridCol w:w="957"/>
        <w:gridCol w:w="123"/>
        <w:gridCol w:w="131"/>
        <w:gridCol w:w="56"/>
        <w:gridCol w:w="957"/>
        <w:gridCol w:w="123"/>
      </w:tblGrid>
      <w:tr w:rsidR="00000000">
        <w:trPr>
          <w:jc w:val="center"/>
        </w:trPr>
        <w:tc>
          <w:tcPr>
            <w:tcW w:w="34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Income statement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3,315.08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1,615,903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1,268,227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532.00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259,320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227,174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378.47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184,480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143,612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67.31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148.63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72,450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65,969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4,449.59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2,168,909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1,738,634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Cost of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(2,501.17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(1,219,171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(956,831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(365.01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(177,921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(157,150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(281.18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(137,057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(104,047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(10.46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(26,460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(14,503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(0.82</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cost of 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(3,212.92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(1,566,107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(1,237,977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813.91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396,732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311,397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166.99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81,398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97.29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47,423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39,565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56.85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94.35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45,990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51,466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1,236.67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602,802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500,657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Administrative expenses, distribution costs and other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(992.72</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(483,892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(382,052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revenues by function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45.99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22,419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Participation in earnings of associates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(102.13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(49,784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(33,955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earnings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(16.90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(Losses) gains from indexation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Income before taxes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174.76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85,186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94,246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(58.08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(28,311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116.68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56,875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68,859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Profit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111.63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54,415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Net earnings attributable to shareholders per share: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Basic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Diluted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the results of our Aventura entertainment centers, our loyalty programs and corporate back-office operations. See _Business_Other Operations._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- 98 - </w:t>
      </w:r>
    </w:p>
    <w:p w:rsidR="00000000" w:rsidRDefault="003E5AFF">
      <w:pPr>
        <w:rPr>
          <w:rFonts w:eastAsia="Times New Roman" w:cs="Times New Roman"/>
        </w:rPr>
      </w:pPr>
      <w:r>
        <w:rPr>
          <w:rFonts w:eastAsia="Times New Roman" w:cs="Times New Roman"/>
        </w:rPr>
        <w:pict>
          <v:rect id="_x0000_i1132" style="width:441.9pt;height:3pt" o:hralign="center" o:hrstd="t" o:hrnoshade="t" o:hr="t" fillcolor="#999" stroked="f"/>
        </w:pict>
      </w:r>
    </w:p>
    <w:p w:rsidR="00000000" w:rsidRDefault="003E5AFF">
      <w:pPr>
        <w:pStyle w:val="Heading5"/>
        <w:rPr>
          <w:rFonts w:eastAsia="Times New Roman" w:cs="Times New Roman"/>
        </w:rPr>
      </w:pPr>
      <w:hyperlink r:id="rId149"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3158"/>
        <w:gridCol w:w="123"/>
        <w:gridCol w:w="58"/>
        <w:gridCol w:w="998"/>
        <w:gridCol w:w="131"/>
        <w:gridCol w:w="184"/>
        <w:gridCol w:w="56"/>
        <w:gridCol w:w="957"/>
        <w:gridCol w:w="123"/>
        <w:gridCol w:w="123"/>
        <w:gridCol w:w="56"/>
        <w:gridCol w:w="957"/>
        <w:gridCol w:w="123"/>
        <w:gridCol w:w="123"/>
        <w:gridCol w:w="56"/>
        <w:gridCol w:w="957"/>
        <w:gridCol w:w="123"/>
      </w:tblGrid>
      <w:tr w:rsidR="00000000">
        <w:trPr>
          <w:jc w:val="center"/>
        </w:trPr>
        <w:tc>
          <w:tcPr>
            <w:tcW w:w="25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Income statement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11,398.88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5,556,271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4,452,759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4,006,366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1,946.17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948,641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819,838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671,517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1,417.14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622,719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516,537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266.14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129,727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116,991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108,168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549.55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267,874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221,010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261,257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23.63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11,520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15,601.52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7,604,806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6,236,974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5,565,246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Cost of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(8,570.62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(4,177,664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(3,355,796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(3,054,483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(1,328.04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(647,337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(561,006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(470,167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(1,024.56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(499,413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(446,769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(380,569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(39.90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(17,858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(22,409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(175.68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(85,632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(128,910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(11.12</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cost of 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(11,149.92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(5,434,917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(4,457,229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(4,060,148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2,828.26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1,378,607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1,096,963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951,883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618.13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301,303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258,832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201,351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392.58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191,359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175,950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135,968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226.24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373.88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182,242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150,552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132,348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12.51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4,451.6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2,169,890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1,779,745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1,505,098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Administrative expenses, distribution costs and other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(3,424.78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(1,669,374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(1,371,074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(1,204,735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revenues by function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174.64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85,128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43,871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Participation in earnings of associates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22.53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16,922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(295.70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(144,136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(86,730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(93,422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earnings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69,997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Exchange differences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(9,876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(Losses) gains from indexation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(64.19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(31,289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12,957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Income before taxes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857.50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417,982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383,311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301,446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(245.27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(119,556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612.23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298,426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306,481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247,546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Profit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25.67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12,511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Profit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586.56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285,915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296,261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243,597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Net earnings attributable to shareholders per share: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Basic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Diluted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Dividends per share: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Basic</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Diluted</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the results of our Aventura entertainment centers, our loyalty programs and corporate back-office operations. See _Business_Other Operations._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- 99 - </w:t>
      </w:r>
    </w:p>
    <w:p w:rsidR="00000000" w:rsidRDefault="003E5AFF">
      <w:pPr>
        <w:rPr>
          <w:rFonts w:eastAsia="Times New Roman" w:cs="Times New Roman"/>
        </w:rPr>
      </w:pPr>
      <w:r>
        <w:rPr>
          <w:rFonts w:eastAsia="Times New Roman" w:cs="Times New Roman"/>
        </w:rPr>
        <w:pict>
          <v:rect id="_x0000_i1133" style="width:441.9pt;height:3pt" o:hralign="center" o:hrstd="t" o:hrnoshade="t" o:hr="t" fillcolor="#999" stroked="f"/>
        </w:pict>
      </w:r>
    </w:p>
    <w:p w:rsidR="00000000" w:rsidRDefault="003E5AFF">
      <w:pPr>
        <w:pStyle w:val="Heading5"/>
        <w:rPr>
          <w:rFonts w:eastAsia="Times New Roman" w:cs="Times New Roman"/>
        </w:rPr>
      </w:pPr>
      <w:hyperlink r:id="rId150"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4519"/>
        <w:gridCol w:w="137"/>
        <w:gridCol w:w="63"/>
        <w:gridCol w:w="993"/>
        <w:gridCol w:w="136"/>
        <w:gridCol w:w="206"/>
        <w:gridCol w:w="56"/>
        <w:gridCol w:w="890"/>
        <w:gridCol w:w="112"/>
        <w:gridCol w:w="136"/>
        <w:gridCol w:w="56"/>
        <w:gridCol w:w="890"/>
        <w:gridCol w:w="112"/>
      </w:tblGrid>
      <w:tr w:rsidR="00000000">
        <w:trPr>
          <w:jc w:val="center"/>
        </w:trPr>
        <w:tc>
          <w:tcPr>
            <w:tcW w:w="33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As of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Balance sheet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current assets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4,219.27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2,056,643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2,094,549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Property, plant, equipment and investment property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7,457.69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3,635,175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3,570,432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Other assets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4,354.24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2,122,430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1,991,579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assets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16,031.20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7,814,248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7,656,561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current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5,222.43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2,545,620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2,327,003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non-current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4,814.91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2,346,982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2,359,924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10,037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4,892,603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4,686,927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Non-controlling interest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174,06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84,844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95,196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equity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5,819.80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2,836,801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2,874,438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net equity and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16,031.20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7,814,248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7,656,561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398"/>
        <w:gridCol w:w="123"/>
        <w:gridCol w:w="63"/>
        <w:gridCol w:w="993"/>
        <w:gridCol w:w="123"/>
        <w:gridCol w:w="186"/>
        <w:gridCol w:w="56"/>
        <w:gridCol w:w="890"/>
        <w:gridCol w:w="112"/>
        <w:gridCol w:w="123"/>
        <w:gridCol w:w="56"/>
        <w:gridCol w:w="890"/>
        <w:gridCol w:w="112"/>
        <w:gridCol w:w="123"/>
        <w:gridCol w:w="56"/>
        <w:gridCol w:w="890"/>
        <w:gridCol w:w="112"/>
      </w:tblGrid>
      <w:tr w:rsidR="00000000">
        <w:trPr>
          <w:jc w:val="center"/>
        </w:trPr>
        <w:tc>
          <w:tcPr>
            <w:tcW w:w="27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As of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b/>
                <w:bCs/>
              </w:rPr>
              <w:t>Balance sheet data:</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r>
            <w:r>
              <w:rPr>
                <w:rFonts w:ascii="Arial" w:eastAsia="Times New Roman" w:hAnsi="Arial" w:cs="Arial"/>
                <w:b/>
                <w:bCs/>
              </w:rP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current assets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4,297.04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2,094,549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1,582,309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1,430,778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Property, plant, equipment and investment property net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7,324.86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3,570,432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2,913,644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2,715,227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Other assets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4,085.79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1,991,579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1,839,516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1,439,654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assets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15,709.70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7,656,561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6,335,469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5,585,659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current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4,773.93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2,327,003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1,919,094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1,453,160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non-current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4,841.47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2,359,924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1,726,781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1,553,371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liabilities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9,615.39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4,686,927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3,645,876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3,006,532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Non-controlling interest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195.30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95,196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74,886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76,348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equity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5,897.01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2,874,438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2,614,707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2,502,778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net equity and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15,707.70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7,656,561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6,335,469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5,585,659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669"/>
        <w:gridCol w:w="338"/>
        <w:gridCol w:w="80"/>
        <w:gridCol w:w="976"/>
        <w:gridCol w:w="339"/>
        <w:gridCol w:w="339"/>
        <w:gridCol w:w="56"/>
        <w:gridCol w:w="790"/>
        <w:gridCol w:w="267"/>
        <w:gridCol w:w="339"/>
        <w:gridCol w:w="56"/>
        <w:gridCol w:w="790"/>
        <w:gridCol w:w="267"/>
      </w:tblGrid>
      <w:tr w:rsidR="00000000">
        <w:trPr>
          <w:jc w:val="center"/>
        </w:trPr>
        <w:tc>
          <w:tcPr>
            <w:tcW w:w="3250" w:type="pct"/>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Other financial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noWrap/>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Cash Flow Data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Net cash provided by (used 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Operating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49.44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(12,578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 xml:space="preserve">Investing activities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(502.00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248,774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(222,274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Financing activities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372.77</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181,703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220,981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Financial Information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tcBorders>
              <w:right w:val="single" w:sz="6" w:space="0" w:color="000000"/>
            </w:tcBorders>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Capital expenditures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(297.94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(145,228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(99,776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Depreciation and amortization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65.64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31,995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29,513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Adjusted EBITDA(2)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297.94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145,231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151,806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Ratios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tcBorders>
              <w:right w:val="single" w:sz="6" w:space="0" w:color="000000"/>
            </w:tcBorders>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 xml:space="preserve">Gross margin(3)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Net margin(5)</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Current ratio(6)</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1x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1x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0x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tcBorders>
              <w:right w:val="single" w:sz="6" w:space="0" w:color="000000"/>
            </w:tcBorders>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- 100 - </w:t>
      </w:r>
    </w:p>
    <w:p w:rsidR="00000000" w:rsidRDefault="003E5AFF">
      <w:pPr>
        <w:rPr>
          <w:rFonts w:eastAsia="Times New Roman" w:cs="Times New Roman"/>
        </w:rPr>
      </w:pPr>
      <w:r>
        <w:rPr>
          <w:rFonts w:eastAsia="Times New Roman" w:cs="Times New Roman"/>
        </w:rPr>
        <w:pict>
          <v:rect id="_x0000_i1134" style="width:441.9pt;height:3pt" o:hralign="center" o:hrstd="t" o:hrnoshade="t" o:hr="t" fillcolor="#999" stroked="f"/>
        </w:pict>
      </w:r>
    </w:p>
    <w:p w:rsidR="00000000" w:rsidRDefault="003E5AFF">
      <w:pPr>
        <w:pStyle w:val="Heading5"/>
        <w:rPr>
          <w:rFonts w:eastAsia="Times New Roman" w:cs="Times New Roman"/>
        </w:rPr>
      </w:pPr>
      <w:hyperlink r:id="rId151"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ratios, numbers of stores, employees and selling space.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gross </w:t>
            </w:r>
            <w:r>
              <w:rPr>
                <w:rFonts w:ascii="Arial" w:eastAsia="Times New Roman" w:hAnsi="Arial" w:cs="Arial"/>
                <w:sz w:val="15"/>
                <w:szCs w:val="15"/>
              </w:rPr>
              <w:t xml:space="preserve">margin divided by consolidated revenues from ordinary activities.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net income divided by consolidated revenues from ordinary activities.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(5)</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current assets divided by consolidated current liabilities.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720"/>
        <w:gridCol w:w="123"/>
        <w:gridCol w:w="66"/>
        <w:gridCol w:w="990"/>
        <w:gridCol w:w="131"/>
        <w:gridCol w:w="123"/>
        <w:gridCol w:w="56"/>
        <w:gridCol w:w="790"/>
        <w:gridCol w:w="123"/>
        <w:gridCol w:w="123"/>
        <w:gridCol w:w="56"/>
        <w:gridCol w:w="790"/>
        <w:gridCol w:w="123"/>
        <w:gridCol w:w="123"/>
        <w:gridCol w:w="56"/>
        <w:gridCol w:w="790"/>
        <w:gridCol w:w="123"/>
      </w:tblGrid>
      <w:tr w:rsidR="00000000">
        <w:trPr>
          <w:jc w:val="center"/>
        </w:trPr>
        <w:tc>
          <w:tcPr>
            <w:tcW w:w="30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Other financial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Cash flow data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u w:val="single"/>
              </w:rPr>
              <w:t>Net cash provided by (used 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Operating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1,164.74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567,739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407,174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675,653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Investing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(1,279.13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(623,499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(413,676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(430,959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Financing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183.83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89,607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(243,236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Other financial information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Capital expenditures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(1,264.43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(616,336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(349,793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(191,136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Depreciation and amortization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246.54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120,174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102,310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101,533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Adjusted EBITDA(2)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1,284.53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626,141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535,565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478,976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rPr>
              <w:t>Financial ratios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margin(3)</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Net margin(4)</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Current ratio(5)</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0.90x</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0.90x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0.82x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0.98x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ratios, numbers of stores, employees and selling space.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gross margin divided by consolidated revenues from ordinary activities.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net income divided by consolidated revenues from ordinary activities.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(5)</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Consolidated current assets divided by consolidated current liabilities.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262"/>
        <w:gridCol w:w="185"/>
        <w:gridCol w:w="86"/>
        <w:gridCol w:w="970"/>
        <w:gridCol w:w="186"/>
        <w:gridCol w:w="309"/>
        <w:gridCol w:w="63"/>
        <w:gridCol w:w="763"/>
        <w:gridCol w:w="309"/>
        <w:gridCol w:w="186"/>
        <w:gridCol w:w="63"/>
        <w:gridCol w:w="812"/>
        <w:gridCol w:w="112"/>
      </w:tblGrid>
      <w:tr w:rsidR="00000000">
        <w:trPr>
          <w:jc w:val="center"/>
        </w:trPr>
        <w:tc>
          <w:tcPr>
            <w:tcW w:w="34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Comprehensive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Comprehensive income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(64.40</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(31,393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102,038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Comprehensive income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b/>
                <w:bCs/>
              </w:rPr>
              <w:t>Total comprehensive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(73.36)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(35,759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105,408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639"/>
        <w:gridCol w:w="182"/>
        <w:gridCol w:w="89"/>
        <w:gridCol w:w="967"/>
        <w:gridCol w:w="182"/>
        <w:gridCol w:w="242"/>
        <w:gridCol w:w="56"/>
        <w:gridCol w:w="723"/>
        <w:gridCol w:w="112"/>
        <w:gridCol w:w="182"/>
        <w:gridCol w:w="56"/>
        <w:gridCol w:w="723"/>
        <w:gridCol w:w="112"/>
        <w:gridCol w:w="183"/>
        <w:gridCol w:w="56"/>
        <w:gridCol w:w="679"/>
        <w:gridCol w:w="123"/>
      </w:tblGrid>
      <w:tr w:rsidR="00000000">
        <w:trPr>
          <w:jc w:val="center"/>
        </w:trPr>
        <w:tc>
          <w:tcPr>
            <w:tcW w:w="30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Comprehensive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Comprehensive income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756.26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368,631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201,686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31,079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Comprehensive income attributable to non-controlling shareholders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41.67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20,310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(24,230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b/>
                <w:bCs/>
              </w:rPr>
              <w:t>Total comprehensive income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797.93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388,941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201,939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- 101 - </w:t>
      </w:r>
    </w:p>
    <w:p w:rsidR="00000000" w:rsidRDefault="003E5AFF">
      <w:pPr>
        <w:rPr>
          <w:rFonts w:eastAsia="Times New Roman" w:cs="Times New Roman"/>
        </w:rPr>
      </w:pPr>
      <w:r>
        <w:rPr>
          <w:rFonts w:eastAsia="Times New Roman" w:cs="Times New Roman"/>
        </w:rPr>
        <w:pict>
          <v:rect id="_x0000_i1135" style="width:441.9pt;height:3pt" o:hralign="center" o:hrstd="t" o:hrnoshade="t" o:hr="t" fillcolor="#999" stroked="f"/>
        </w:pict>
      </w:r>
    </w:p>
    <w:p w:rsidR="00000000" w:rsidRDefault="003E5AFF">
      <w:pPr>
        <w:pStyle w:val="Heading5"/>
        <w:rPr>
          <w:rFonts w:eastAsia="Times New Roman" w:cs="Times New Roman"/>
        </w:rPr>
      </w:pPr>
      <w:hyperlink r:id="rId15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285"/>
        <w:gridCol w:w="119"/>
        <w:gridCol w:w="72"/>
        <w:gridCol w:w="848"/>
        <w:gridCol w:w="107"/>
        <w:gridCol w:w="120"/>
        <w:gridCol w:w="53"/>
        <w:gridCol w:w="848"/>
        <w:gridCol w:w="84"/>
        <w:gridCol w:w="120"/>
        <w:gridCol w:w="42"/>
        <w:gridCol w:w="668"/>
        <w:gridCol w:w="84"/>
        <w:gridCol w:w="120"/>
        <w:gridCol w:w="42"/>
        <w:gridCol w:w="668"/>
        <w:gridCol w:w="84"/>
        <w:gridCol w:w="120"/>
        <w:gridCol w:w="42"/>
        <w:gridCol w:w="668"/>
        <w:gridCol w:w="112"/>
      </w:tblGrid>
      <w:tr w:rsidR="00000000">
        <w:trPr>
          <w:jc w:val="center"/>
        </w:trPr>
        <w:tc>
          <w:tcPr>
            <w:tcW w:w="27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Operating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sz w:val="15"/>
                <w:szCs w:val="15"/>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269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64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64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Supermarkets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Home Improvement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Colombia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Home improvement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Department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Shopping centers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960" w:hanging="240"/>
            </w:pPr>
            <w:r>
              <w:rPr>
                <w:rFonts w:ascii="Arial" w:hAnsi="Arial" w:cs="Arial"/>
                <w:sz w:val="15"/>
                <w:szCs w:val="15"/>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sz w:val="15"/>
                <w:szCs w:val="15"/>
              </w:rPr>
              <w:t>Total Selling Space(2)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b/>
                <w:bCs/>
              </w:rPr>
              <w:t> </w:t>
            </w:r>
          </w:p>
        </w:tc>
        <w:tc>
          <w:tcPr>
            <w:tcW w:w="0" w:type="auto"/>
            <w:gridSpan w:val="17"/>
            <w:vAlign w:val="bottom"/>
            <w:hideMark/>
          </w:tcPr>
          <w:p w:rsidR="00000000" w:rsidRDefault="003E5AFF">
            <w:pPr>
              <w:jc w:val="center"/>
              <w:rPr>
                <w:rFonts w:eastAsia="Times New Roman" w:cs="Times New Roman"/>
              </w:rPr>
            </w:pPr>
            <w:r>
              <w:rPr>
                <w:rFonts w:ascii="Arial" w:eastAsia="Times New Roman" w:hAnsi="Arial" w:cs="Arial"/>
                <w:b/>
                <w:bCs/>
              </w:rPr>
              <w:t xml:space="preserve">(in square meters) </w:t>
            </w:r>
          </w:p>
        </w:tc>
        <w:tc>
          <w:tcPr>
            <w:tcW w:w="0" w:type="auto"/>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466,354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415,815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463,834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406,555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407,531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506,987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471,853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502,682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455,808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443,809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Brazil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465,992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343,587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391,485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332,626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120,608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233,496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209,642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233,331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209,642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184,659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Supermarkets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1,672,829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1,440,897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1,591,332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1,404,631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1,156,607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276,325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273,625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276,325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273,625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251,144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392,772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364,317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391,485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392,645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350,666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35,360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34,309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35,360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34,309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16,646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Home improvement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704,457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672,251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703,170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700,579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618,456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358,837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234,489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272,388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234,489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216,193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Department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358,837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234,489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272,388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234,489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216,193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Shopping Centers:(3)</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282,693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273,983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282,693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273,983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259,293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228,949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214,002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227,369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214,002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208,221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54,750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Shopping centers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566,442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542,735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564,839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542,735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522,264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960" w:hanging="240"/>
            </w:pPr>
            <w:r>
              <w:rPr>
                <w:rFonts w:ascii="Arial" w:hAnsi="Arial" w:cs="Arial"/>
                <w:sz w:val="15"/>
                <w:szCs w:val="15"/>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3,302,564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2,890,371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3,131,729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2,882,434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2,513,520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sz w:val="15"/>
                <w:szCs w:val="15"/>
              </w:rPr>
              <w:t>Average Selling Space per Store(4)</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 </w:t>
            </w:r>
          </w:p>
        </w:tc>
        <w:tc>
          <w:tcPr>
            <w:tcW w:w="0" w:type="auto"/>
            <w:gridSpan w:val="17"/>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(in square meters)</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2,442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2,505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2,441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2,494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2,516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1,864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1,843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1,869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1,781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1,775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2,466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2,545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2,506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2,559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3,155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3,276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3,153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3,276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3,184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Supermarkets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2,291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2,216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Home Improvement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9,528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9,435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9,528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9,435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10,046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8,183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7,435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8,156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7,435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7,623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Colombia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8,840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8,840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8,323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Home improvement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8,697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8,198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8,681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8,198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8,472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4,849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6,897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7,783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6,897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7,206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Department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4,849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6,897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7,783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6,897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7,206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31,410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30,443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31,410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30,443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32,412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16,357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15,286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16,243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15,286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16,017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27,375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Shopping centers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22,658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21,709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22,594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21,709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22,707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66"/>
        <w:gridCol w:w="83"/>
        <w:gridCol w:w="8057"/>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NTD: Pending confirmation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- 102 - </w:t>
      </w:r>
    </w:p>
    <w:p w:rsidR="00000000" w:rsidRDefault="003E5AFF">
      <w:pPr>
        <w:rPr>
          <w:rFonts w:eastAsia="Times New Roman" w:cs="Times New Roman"/>
        </w:rPr>
      </w:pPr>
      <w:r>
        <w:rPr>
          <w:rFonts w:eastAsia="Times New Roman" w:cs="Times New Roman"/>
        </w:rPr>
        <w:pict>
          <v:rect id="_x0000_i1136" style="width:441.9pt;height:3pt" o:hralign="center" o:hrstd="t" o:hrnoshade="t" o:hr="t" fillcolor="#999" stroked="f"/>
        </w:pict>
      </w:r>
    </w:p>
    <w:p w:rsidR="00000000" w:rsidRDefault="003E5AFF">
      <w:pPr>
        <w:pStyle w:val="Heading5"/>
        <w:rPr>
          <w:rFonts w:eastAsia="Times New Roman" w:cs="Times New Roman"/>
        </w:rPr>
      </w:pPr>
      <w:hyperlink r:id="rId153"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3644"/>
        <w:gridCol w:w="122"/>
        <w:gridCol w:w="85"/>
        <w:gridCol w:w="826"/>
        <w:gridCol w:w="128"/>
        <w:gridCol w:w="121"/>
        <w:gridCol w:w="64"/>
        <w:gridCol w:w="826"/>
        <w:gridCol w:w="84"/>
        <w:gridCol w:w="121"/>
        <w:gridCol w:w="42"/>
        <w:gridCol w:w="543"/>
        <w:gridCol w:w="84"/>
        <w:gridCol w:w="121"/>
        <w:gridCol w:w="42"/>
        <w:gridCol w:w="543"/>
        <w:gridCol w:w="92"/>
        <w:gridCol w:w="121"/>
        <w:gridCol w:w="42"/>
        <w:gridCol w:w="543"/>
        <w:gridCol w:w="112"/>
      </w:tblGrid>
      <w:tr w:rsidR="00000000">
        <w:trPr>
          <w:jc w:val="center"/>
        </w:trPr>
        <w:tc>
          <w:tcPr>
            <w:tcW w:w="30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r>
            <w:r>
              <w:rPr>
                <w:rFonts w:ascii="Arial" w:eastAsia="Times New Roman" w:hAnsi="Arial" w:cs="Arial"/>
                <w:b/>
                <w:bCs/>
              </w:rP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w:t>
            </w:r>
            <w:r>
              <w:rPr>
                <w:rFonts w:ascii="Arial" w:eastAsia="Times New Roman" w:hAnsi="Arial" w:cs="Arial"/>
                <w:b/>
                <w:bCs/>
              </w:rPr>
              <w:br/>
              <w:t>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Operating data: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sz w:val="15"/>
                <w:szCs w:val="15"/>
              </w:rPr>
              <w:t>Average Sales per Store(5)</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 </w:t>
            </w:r>
          </w:p>
        </w:tc>
        <w:tc>
          <w:tcPr>
            <w:tcW w:w="0" w:type="auto"/>
            <w:gridSpan w:val="17"/>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2,463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2,989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9,662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10,371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1,565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1,392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5,776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5,352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5,120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2,916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6,484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10,890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2,279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2,200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8,439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8,744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9,498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Supermarkets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2,226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2,092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8,123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7,276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7,675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Home Improvement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3,437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3,300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12,672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11,577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10,551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3,101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2,497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11,287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9,205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8,657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Colombia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2,280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9,845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8,272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4,763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Home improvement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3,201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2,770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11,712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9,199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2,493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4,224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19,736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18,315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17,218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Department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2,493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4,224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19,736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18,315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17,218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1,828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1,625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7,167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6,095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6,449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1,055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970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4,262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3,810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3,583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4,401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4,998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Shopping centers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1,312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1,182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5,189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4,680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4,703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sz w:val="15"/>
                <w:szCs w:val="15"/>
              </w:rPr>
              <w:t>Increase (Decrease) in Same-Store Sales(6)</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sz w:val="15"/>
                <w:szCs w:val="15"/>
              </w:rPr>
              <w:t> </w:t>
            </w:r>
          </w:p>
        </w:tc>
        <w:tc>
          <w:tcPr>
            <w:tcW w:w="0" w:type="auto"/>
            <w:gridSpan w:val="17"/>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sz w:val="15"/>
                <w:szCs w:val="15"/>
              </w:rPr>
              <w:t>(%)</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b/>
                <w:bCs/>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23.3%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23.8%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6.5%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23.7%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6.7%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17.9%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5.4%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19.7%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20"/>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sz w:val="15"/>
                <w:szCs w:val="15"/>
              </w:rPr>
              <w:t>Sales per Square Meter(7)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 </w:t>
            </w:r>
          </w:p>
        </w:tc>
        <w:tc>
          <w:tcPr>
            <w:tcW w:w="0" w:type="auto"/>
            <w:gridSpan w:val="17"/>
            <w:shd w:val="clear" w:color="auto" w:fill="CCEEFF"/>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b/>
                <w:bCs/>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0.84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0.76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3.09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3.01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2.88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0.72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0.67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2.68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2.67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2.98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Supermarkets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3.17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Home Improvement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0.38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0.39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1.38</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1.24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1.14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Colombia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Home improvement stores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0.37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0.39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1.35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1.22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1.09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0.51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0.61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2.54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2.66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2.39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sz w:val="15"/>
                <w:szCs w:val="15"/>
              </w:rPr>
              <w:t>Department stores subtotal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2.39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u w:val="single"/>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480" w:hanging="240"/>
            </w:pPr>
            <w:r>
              <w:rPr>
                <w:rFonts w:ascii="Arial" w:hAnsi="Arial" w:cs="Arial"/>
                <w:i/>
                <w:iCs/>
                <w:sz w:val="15"/>
                <w:szCs w:val="15"/>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0.06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0.06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0.26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0.25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0.22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i/>
                <w:iCs/>
                <w:sz w:val="15"/>
                <w:szCs w:val="15"/>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0.18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720" w:hanging="240"/>
            </w:pPr>
            <w:r>
              <w:rPr>
                <w:rFonts w:ascii="Arial" w:hAnsi="Arial" w:cs="Arial"/>
                <w:sz w:val="15"/>
                <w:szCs w:val="15"/>
              </w:rPr>
              <w:t>Shopping centers subtotal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0.06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0.05</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0.23</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0.22</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0.21</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Total number of store employees(8)</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139,082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139,082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131,505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126,485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101,392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 square meters at period end.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Total leasable space for shopping centers does not include selling space occupied by our Jumbo, Paris and Easy stores in our shopping centers.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Total square meters of selling space or leasable space, as applicable, at period end divided by the total number of stores or shopping centers, as applicable, at period end.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- 103 - </w:t>
      </w:r>
    </w:p>
    <w:p w:rsidR="00000000" w:rsidRDefault="003E5AFF">
      <w:pPr>
        <w:rPr>
          <w:rFonts w:eastAsia="Times New Roman" w:cs="Times New Roman"/>
        </w:rPr>
      </w:pPr>
      <w:r>
        <w:rPr>
          <w:rFonts w:eastAsia="Times New Roman" w:cs="Times New Roman"/>
        </w:rPr>
        <w:pict>
          <v:rect id="_x0000_i1137" style="width:441.9pt;height:3pt" o:hralign="center" o:hrstd="t" o:hrnoshade="t" o:hr="t" fillcolor="#999" stroked="f"/>
        </w:pict>
      </w:r>
    </w:p>
    <w:p w:rsidR="00000000" w:rsidRDefault="003E5AFF">
      <w:pPr>
        <w:pStyle w:val="Heading5"/>
        <w:rPr>
          <w:rFonts w:eastAsia="Times New Roman" w:cs="Times New Roman"/>
        </w:rPr>
      </w:pPr>
      <w:hyperlink r:id="rId154"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(5)</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Sales for </w:t>
            </w:r>
            <w:r>
              <w:rPr>
                <w:rFonts w:ascii="Arial" w:eastAsia="Times New Roman" w:hAnsi="Arial" w:cs="Arial"/>
                <w:sz w:val="15"/>
                <w:szCs w:val="15"/>
              </w:rPr>
              <w:t xml:space="preserve">the period divided by the number of stores or shopping centers, as applicable, at the end of the period.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(6)</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Reflects the sales of our stores operating throughout the same months of both financial periods being compared. If a store did not operate for a full month of either of the financial periods being compared, we exclude its sales for such month from both fin</w:t>
            </w:r>
            <w:r>
              <w:rPr>
                <w:rFonts w:ascii="Arial" w:eastAsia="Times New Roman" w:hAnsi="Arial" w:cs="Arial"/>
                <w:sz w:val="15"/>
                <w:szCs w:val="15"/>
              </w:rPr>
              <w:t>ancial periods. For example, if a new store was opened on July 1, 2010 and operated throughout the last six months of 2010, (i) _same-store sales_ would include the sales of that store for the last six months of 2010 and the last six months of 2011 and (ii</w:t>
            </w:r>
            <w:r>
              <w:rPr>
                <w:rFonts w:ascii="Arial" w:eastAsia="Times New Roman" w:hAnsi="Arial" w:cs="Arial"/>
                <w:sz w:val="15"/>
                <w:szCs w:val="15"/>
              </w:rPr>
              <w:t xml:space="preserve">) we would consider the sales of the new store during the first six months of 2011 as sales from a newly opened store. Calculated in local currency.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(7)</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Sales for the period divided by the square meters of selling space or leasable space, as ap</w:t>
            </w:r>
            <w:r>
              <w:rPr>
                <w:rFonts w:ascii="Arial" w:eastAsia="Times New Roman" w:hAnsi="Arial" w:cs="Arial"/>
                <w:sz w:val="15"/>
                <w:szCs w:val="15"/>
              </w:rPr>
              <w:t xml:space="preserve">plicable, at the end of each month during the period.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(8)</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Number of full-time employee equivalents at period end.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- 104 - </w:t>
      </w:r>
    </w:p>
    <w:p w:rsidR="00000000" w:rsidRDefault="003E5AFF">
      <w:pPr>
        <w:rPr>
          <w:rFonts w:eastAsia="Times New Roman" w:cs="Times New Roman"/>
        </w:rPr>
      </w:pPr>
      <w:r>
        <w:rPr>
          <w:rFonts w:eastAsia="Times New Roman" w:cs="Times New Roman"/>
        </w:rPr>
        <w:pict>
          <v:rect id="_x0000_i1138" style="width:441.9pt;height:3pt" o:hralign="center" o:hrstd="t" o:hrnoshade="t" o:hr="t" fillcolor="#999" stroked="f"/>
        </w:pict>
      </w:r>
    </w:p>
    <w:p w:rsidR="00000000" w:rsidRDefault="003E5AFF">
      <w:pPr>
        <w:pStyle w:val="Heading5"/>
        <w:rPr>
          <w:rFonts w:eastAsia="Times New Roman" w:cs="Times New Roman"/>
        </w:rPr>
      </w:pPr>
      <w:hyperlink r:id="rId15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8" w:name="rom343004_17"/>
      <w:bookmarkEnd w:id="18"/>
      <w:r>
        <w:rPr>
          <w:rFonts w:ascii="Arial" w:hAnsi="Arial" w:cs="Arial"/>
          <w:b/>
          <w:bCs/>
          <w:sz w:val="36"/>
          <w:szCs w:val="36"/>
        </w:rPr>
        <w:t xml:space="preserve">Management_s discussion and analysis of financial condition and </w:t>
      </w:r>
      <w:r>
        <w:rPr>
          <w:rFonts w:ascii="Arial" w:hAnsi="Arial" w:cs="Arial"/>
          <w:b/>
          <w:bCs/>
          <w:sz w:val="36"/>
          <w:szCs w:val="36"/>
        </w:rPr>
        <w:t xml:space="preserve">results of operations </w:t>
      </w:r>
    </w:p>
    <w:p w:rsidR="00000000" w:rsidRDefault="003E5AFF">
      <w:pPr>
        <w:pStyle w:val="NormalWeb"/>
        <w:spacing w:before="120" w:beforeAutospacing="0" w:after="0" w:afterAutospacing="0"/>
      </w:pPr>
      <w:r>
        <w:rPr>
          <w:rFonts w:ascii="Arial" w:hAnsi="Arial" w:cs="Arial"/>
          <w:i/>
          <w:iCs/>
        </w:rPr>
        <w:t>The following management_s discussion and analysis of financial condition and results of operations should be read in conjunction with our Audited Consolidated Financial Statements and our Unaudited Interim Consolidated Financial Sta</w:t>
      </w:r>
      <w:r>
        <w:rPr>
          <w:rFonts w:ascii="Arial" w:hAnsi="Arial" w:cs="Arial"/>
          <w:i/>
          <w:iCs/>
        </w:rPr>
        <w:t>tements included elsewhere in this prospectus, as well as the information presented under _Selected Consolidated Financial Data._ The following management_s discussion and analysis of financial condition and results of operations contains forward-looking s</w:t>
      </w:r>
      <w:r>
        <w:rPr>
          <w:rFonts w:ascii="Arial" w:hAnsi="Arial" w:cs="Arial"/>
          <w:i/>
          <w:iCs/>
        </w:rPr>
        <w:t xml:space="preserve">tatements; for more information regarding the risks, uncertainties and assumptions inherent in these forward-looking statements, see _Forward-looking Statements_ and _Risk Factors._ </w:t>
      </w:r>
    </w:p>
    <w:p w:rsidR="00000000" w:rsidRDefault="003E5AFF">
      <w:pPr>
        <w:pStyle w:val="NormalWeb"/>
        <w:spacing w:before="240" w:beforeAutospacing="0" w:after="0" w:afterAutospacing="0"/>
      </w:pPr>
      <w:r>
        <w:rPr>
          <w:rFonts w:ascii="Arial" w:hAnsi="Arial" w:cs="Arial"/>
          <w:b/>
          <w:bCs/>
          <w:sz w:val="24"/>
          <w:szCs w:val="24"/>
        </w:rPr>
        <w:t xml:space="preserve">Overview </w:t>
      </w:r>
    </w:p>
    <w:p w:rsidR="00000000" w:rsidRDefault="003E5AFF">
      <w:pPr>
        <w:pStyle w:val="NormalWeb"/>
        <w:spacing w:before="120" w:beforeAutospacing="0" w:after="0" w:afterAutospacing="0"/>
      </w:pPr>
      <w:r>
        <w:rPr>
          <w:rFonts w:ascii="Arial" w:hAnsi="Arial" w:cs="Arial"/>
        </w:rPr>
        <w:t xml:space="preserve">We are a leading multi-format retailer in South America, based </w:t>
      </w:r>
      <w:r>
        <w:rPr>
          <w:rFonts w:ascii="Arial" w:hAnsi="Arial" w:cs="Arial"/>
        </w:rPr>
        <w:t>on revenues, selling space, number of stores and gross leasable area. We operate through a number of formats, including supermarkets, home improvement stores, shopping centers and department stores in Chile, Argentina and Colombia. We seek to increase oper</w:t>
      </w:r>
      <w:r>
        <w:rPr>
          <w:rFonts w:ascii="Arial" w:hAnsi="Arial" w:cs="Arial"/>
        </w:rPr>
        <w:t>ations through organic growth and acquisitions in Brazil and Peru, which the Company believes are high growth and underpenetrated markets due to their favorable demographics, sustainable household consumption growth, low formal retail penetration, and stro</w:t>
      </w:r>
      <w:r>
        <w:rPr>
          <w:rFonts w:ascii="Arial" w:hAnsi="Arial" w:cs="Arial"/>
        </w:rPr>
        <w:t>ng macroeconomic environments, as described in _Our Business_ and _Industry Overview and Competition._ We conduct our business through six segments, including four retail segments, which allows us to reach a wide range of customers by offering various comb</w:t>
      </w:r>
      <w:r>
        <w:rPr>
          <w:rFonts w:ascii="Arial" w:hAnsi="Arial" w:cs="Arial"/>
        </w:rPr>
        <w:t xml:space="preserve">inations of products, price, quality and service. As a complement to our core retailing business, we also offer credit cards, consumer loans and other financial services to our retail customers. </w:t>
      </w:r>
    </w:p>
    <w:p w:rsidR="00000000" w:rsidRDefault="003E5AFF">
      <w:pPr>
        <w:pStyle w:val="NormalWeb"/>
        <w:spacing w:before="120" w:beforeAutospacing="0" w:after="0" w:afterAutospacing="0"/>
      </w:pPr>
      <w:r>
        <w:rPr>
          <w:rFonts w:ascii="Arial" w:hAnsi="Arial" w:cs="Arial"/>
        </w:rPr>
        <w:t xml:space="preserve">We believe that our strategy of operating as a multi-format </w:t>
      </w:r>
      <w:r>
        <w:rPr>
          <w:rFonts w:ascii="Arial" w:hAnsi="Arial" w:cs="Arial"/>
        </w:rPr>
        <w:t xml:space="preserve">and integrated retailer, combined with our broad product offering and premier portfolio of brands, has been one of the key strategic competencies for the successful growth of our businesses. </w:t>
      </w:r>
    </w:p>
    <w:p w:rsidR="00000000" w:rsidRDefault="003E5AFF">
      <w:pPr>
        <w:pStyle w:val="NormalWeb"/>
        <w:spacing w:before="120" w:beforeAutospacing="0" w:after="0" w:afterAutospacing="0"/>
      </w:pPr>
      <w:r>
        <w:rPr>
          <w:rFonts w:ascii="Arial" w:hAnsi="Arial" w:cs="Arial"/>
        </w:rPr>
        <w:t>In summary, highlights of our commercial activities up to March </w:t>
      </w:r>
      <w:r>
        <w:rPr>
          <w:rFonts w:ascii="Arial" w:hAnsi="Arial" w:cs="Arial"/>
        </w:rPr>
        <w:t xml:space="preserve">31, 2012 include: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906 stores and shopping centers as of March 31, 2012, an increase of 113% compared to 425 stores and shopping centers as of January 1, 2005.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3.3 million square meters of selling space as of March </w:t>
            </w:r>
            <w:r>
              <w:rPr>
                <w:rFonts w:ascii="Arial" w:hAnsi="Arial" w:cs="Arial"/>
              </w:rPr>
              <w:t xml:space="preserve">31, 2012, an increase of 130% compared to 1.4 million square meters as of January 1, 2005.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More than 800 million people visited our stores and shopping centers in 2011, completing a total of 661 million transactions.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More than 450 thousand products offered through diversified business segments and 15 brand names present in five cities as of March 31, 2012.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total of 4.3 million credit cards issued and U.S.$1.53 billion in credit card operations as of December 31, 2011.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- 105 - </w:t>
      </w:r>
    </w:p>
    <w:p w:rsidR="00000000" w:rsidRDefault="003E5AFF">
      <w:pPr>
        <w:rPr>
          <w:rFonts w:eastAsia="Times New Roman" w:cs="Times New Roman"/>
        </w:rPr>
      </w:pPr>
      <w:r>
        <w:rPr>
          <w:rFonts w:eastAsia="Times New Roman" w:cs="Times New Roman"/>
        </w:rPr>
        <w:pict>
          <v:rect id="_x0000_i1139" style="width:441.9pt;height:3pt" o:hralign="center" o:hrstd="t" o:hrnoshade="t" o:hr="t" fillcolor="#999" stroked="f"/>
        </w:pict>
      </w:r>
    </w:p>
    <w:p w:rsidR="00000000" w:rsidRDefault="003E5AFF">
      <w:pPr>
        <w:pStyle w:val="Heading5"/>
        <w:rPr>
          <w:rFonts w:eastAsia="Times New Roman" w:cs="Times New Roman"/>
        </w:rPr>
      </w:pPr>
      <w:hyperlink r:id="rId15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Throughout our 35-year history we have developed, acquired, integrated and expanded several retail businesses with strong brand rec</w:t>
      </w:r>
      <w:r>
        <w:rPr>
          <w:rFonts w:ascii="Arial" w:hAnsi="Arial" w:cs="Arial"/>
        </w:rPr>
        <w:t>ognition in the local markets where we operate. As of March 31, 2012, we operated 726 supermarkets, 81 home improvement stores, 74 department stores and 25 shopping centers under a variety of trade names. The following table presents our total number of sh</w:t>
      </w:r>
      <w:r>
        <w:rPr>
          <w:rFonts w:ascii="Arial" w:hAnsi="Arial" w:cs="Arial"/>
        </w:rPr>
        <w:t xml:space="preserve">opping centers and stores by country as of March 31, 2012: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946"/>
        <w:gridCol w:w="147"/>
        <w:gridCol w:w="70"/>
        <w:gridCol w:w="419"/>
        <w:gridCol w:w="112"/>
        <w:gridCol w:w="147"/>
        <w:gridCol w:w="134"/>
        <w:gridCol w:w="800"/>
        <w:gridCol w:w="112"/>
        <w:gridCol w:w="147"/>
        <w:gridCol w:w="78"/>
        <w:gridCol w:w="467"/>
        <w:gridCol w:w="112"/>
        <w:gridCol w:w="148"/>
        <w:gridCol w:w="89"/>
        <w:gridCol w:w="356"/>
        <w:gridCol w:w="112"/>
        <w:gridCol w:w="148"/>
        <w:gridCol w:w="304"/>
        <w:gridCol w:w="608"/>
        <w:gridCol w:w="112"/>
        <w:gridCol w:w="148"/>
        <w:gridCol w:w="69"/>
        <w:gridCol w:w="409"/>
        <w:gridCol w:w="112"/>
      </w:tblGrid>
      <w:tr w:rsidR="00000000">
        <w:trPr>
          <w:jc w:val="center"/>
        </w:trPr>
        <w:tc>
          <w:tcPr>
            <w:tcW w:w="30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Chile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Argentina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Brazil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Peru</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Colombia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rPr>
        <w:t>During the three months ended March </w:t>
      </w:r>
      <w:r>
        <w:rPr>
          <w:rFonts w:ascii="Arial" w:hAnsi="Arial" w:cs="Arial"/>
        </w:rPr>
        <w:t xml:space="preserve">31, 2012, we had revenues from ordinary activities of Ch$ 2,168,909 million, Adjusted EBITDA of Ch$ 145,231 million and profit of Ch$ 56,875 million. </w:t>
      </w:r>
    </w:p>
    <w:p w:rsidR="00000000" w:rsidRDefault="003E5AFF">
      <w:pPr>
        <w:pStyle w:val="NormalWeb"/>
        <w:spacing w:before="240" w:beforeAutospacing="0" w:after="0" w:afterAutospacing="0"/>
      </w:pPr>
      <w:r>
        <w:rPr>
          <w:rFonts w:ascii="Arial" w:hAnsi="Arial" w:cs="Arial"/>
          <w:b/>
          <w:bCs/>
          <w:sz w:val="24"/>
          <w:szCs w:val="24"/>
        </w:rPr>
        <w:t xml:space="preserve">Trends and factors affecting our results of operations </w:t>
      </w:r>
    </w:p>
    <w:p w:rsidR="00000000" w:rsidRDefault="003E5AFF">
      <w:pPr>
        <w:pStyle w:val="NormalWeb"/>
        <w:spacing w:before="120" w:beforeAutospacing="0" w:after="0" w:afterAutospacing="0"/>
      </w:pPr>
      <w:r>
        <w:rPr>
          <w:rFonts w:ascii="Arial" w:hAnsi="Arial" w:cs="Arial"/>
        </w:rPr>
        <w:t xml:space="preserve">Our results of operations have been influenced and will continue to be influenced by the following factors: </w:t>
      </w:r>
    </w:p>
    <w:p w:rsidR="00000000" w:rsidRDefault="003E5AFF">
      <w:pPr>
        <w:pStyle w:val="NormalWeb"/>
        <w:spacing w:before="240" w:beforeAutospacing="0" w:after="0" w:afterAutospacing="0"/>
      </w:pPr>
      <w:r>
        <w:rPr>
          <w:rFonts w:ascii="Arial" w:hAnsi="Arial" w:cs="Arial"/>
          <w:b/>
          <w:bCs/>
          <w:i/>
          <w:iCs/>
        </w:rPr>
        <w:t xml:space="preserve">Developments in the Chilean economy </w:t>
      </w:r>
    </w:p>
    <w:p w:rsidR="00000000" w:rsidRDefault="003E5AFF">
      <w:pPr>
        <w:pStyle w:val="NormalWeb"/>
        <w:spacing w:before="120" w:beforeAutospacing="0" w:after="0" w:afterAutospacing="0"/>
      </w:pPr>
      <w:r>
        <w:rPr>
          <w:rFonts w:ascii="Arial" w:hAnsi="Arial" w:cs="Arial"/>
        </w:rPr>
        <w:t>Our operations in Chile accounted for 38.3% of our consolidated revenues from ordinary activities for the thre</w:t>
      </w:r>
      <w:r>
        <w:rPr>
          <w:rFonts w:ascii="Arial" w:hAnsi="Arial" w:cs="Arial"/>
        </w:rPr>
        <w:t>e months ended March 31, 2012. Consequently, our financial condition and results of operations are substantially dependent on economic conditions prevailing in Chile. In 2010, the Chilean economy began to recover following the 2009 recession. As reported b</w:t>
      </w:r>
      <w:r>
        <w:rPr>
          <w:rFonts w:ascii="Arial" w:hAnsi="Arial" w:cs="Arial"/>
        </w:rPr>
        <w:t xml:space="preserve">y the Central Bank of Chile, GDP contracted 1.0% in 2009, but increased by 6.1% in 2010 and 6.0% in 2011. According to ILACAD World Retail (_ILACAD_), an international consulting company which monitors the reail industry, the Chilean formal retail sector, </w:t>
      </w:r>
      <w:r>
        <w:rPr>
          <w:rFonts w:ascii="Arial" w:hAnsi="Arial" w:cs="Arial"/>
        </w:rPr>
        <w:t>which consists of business that are taxed and that employ formal labor, accounts for 63% of the retail sector, a relatively high number in comparison to the other countries in which we operate, but low in comparison to the United States, where the formal s</w:t>
      </w:r>
      <w:r>
        <w:rPr>
          <w:rFonts w:ascii="Arial" w:hAnsi="Arial" w:cs="Arial"/>
        </w:rPr>
        <w:t xml:space="preserve">ector accounts for 91% of the retail sector, according to the U.S. Census Bureau. </w:t>
      </w:r>
    </w:p>
    <w:p w:rsidR="00000000" w:rsidRDefault="003E5AFF">
      <w:pPr>
        <w:pStyle w:val="NormalWeb"/>
        <w:spacing w:before="120" w:beforeAutospacing="0" w:after="0" w:afterAutospacing="0"/>
      </w:pPr>
      <w:r>
        <w:rPr>
          <w:rFonts w:ascii="Arial" w:hAnsi="Arial" w:cs="Arial"/>
        </w:rPr>
        <w:t xml:space="preserve">In February 2010, Chile was struck by an 8.8 magnitude earthquake and a tsunami, which mainly affected the mid-southern regions of Chile. As a result of these </w:t>
      </w:r>
      <w:r>
        <w:rPr>
          <w:rFonts w:ascii="Arial" w:hAnsi="Arial" w:cs="Arial"/>
        </w:rPr>
        <w:t>developments, economic activity in Chile was adversely affected in 2010. However, the growth of private and public sector investments and the rebound of consumption have partially offset the negative effects of the earthquake and tsunami. As reported by th</w:t>
      </w:r>
      <w:r>
        <w:rPr>
          <w:rFonts w:ascii="Arial" w:hAnsi="Arial" w:cs="Arial"/>
        </w:rPr>
        <w:t>e Central Bank of Chile, in 2010, internal demand increased 15.7%, private investment increased 18.5% and private consumption increased 9.3% compared to the same period in 2009. Unemployment rates have been decreasing and the unemployment rate as of March </w:t>
      </w:r>
      <w:r>
        <w:rPr>
          <w:rFonts w:ascii="Arial" w:hAnsi="Arial" w:cs="Arial"/>
        </w:rPr>
        <w:t xml:space="preserve">31, 2012 declined to 6.6% compared to 7.1% as of December 2010 and 10.0% as of December 2009, according to the Central Bank of Chile. See __Impact of the 2010 Earthquake and Tsunami._ </w:t>
      </w:r>
    </w:p>
    <w:p w:rsidR="00000000" w:rsidRDefault="003E5AFF">
      <w:pPr>
        <w:pStyle w:val="NormalWeb"/>
        <w:spacing w:before="120" w:beforeAutospacing="0" w:after="0" w:afterAutospacing="0"/>
      </w:pPr>
      <w:r>
        <w:rPr>
          <w:rFonts w:ascii="Arial" w:hAnsi="Arial" w:cs="Arial"/>
        </w:rPr>
        <w:t>The recovery of the Chilean economy in 2010 was led in part by a recove</w:t>
      </w:r>
      <w:r>
        <w:rPr>
          <w:rFonts w:ascii="Arial" w:hAnsi="Arial" w:cs="Arial"/>
        </w:rPr>
        <w:t xml:space="preserve">ry of the prices of Chile_s exports, which accounted for 40% of GDP in 2010, according to Global Insight, a consulting company for country and industry forecasting. As a result of the economic recovery, the Consumer Price Index (_CPI_) inflation increased </w:t>
      </w:r>
      <w:r>
        <w:rPr>
          <w:rFonts w:ascii="Arial" w:hAnsi="Arial" w:cs="Arial"/>
        </w:rPr>
        <w:t xml:space="preserve">4.4% in 2011, compared with an increase of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- 106 - </w:t>
      </w:r>
    </w:p>
    <w:p w:rsidR="00000000" w:rsidRDefault="003E5AFF">
      <w:pPr>
        <w:rPr>
          <w:rFonts w:eastAsia="Times New Roman" w:cs="Times New Roman"/>
        </w:rPr>
      </w:pPr>
      <w:r>
        <w:rPr>
          <w:rFonts w:eastAsia="Times New Roman" w:cs="Times New Roman"/>
        </w:rPr>
        <w:pict>
          <v:rect id="_x0000_i1140" style="width:441.9pt;height:3pt" o:hralign="center" o:hrstd="t" o:hrnoshade="t" o:hr="t" fillcolor="#999" stroked="f"/>
        </w:pict>
      </w:r>
    </w:p>
    <w:p w:rsidR="00000000" w:rsidRDefault="003E5AFF">
      <w:pPr>
        <w:pStyle w:val="Heading5"/>
        <w:rPr>
          <w:rFonts w:eastAsia="Times New Roman" w:cs="Times New Roman"/>
        </w:rPr>
      </w:pPr>
      <w:hyperlink r:id="rId15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3.0% in 2010 and a decrease of 1.4% in 2009, according to the Central Bank of Chile. As a result of rising price levels and higher economic activity, interest rates increased during 2011. The nominal overnight rate set by the Chilean Central Bank has incre</w:t>
      </w:r>
      <w:r>
        <w:rPr>
          <w:rFonts w:ascii="Arial" w:hAnsi="Arial" w:cs="Arial"/>
        </w:rPr>
        <w:t xml:space="preserve">ased 175 basis points since December 2010 and was 3.25% to 5.00% as of March 31, 2012. See _Risk Factors_Risks Relating to Chile._ </w:t>
      </w:r>
    </w:p>
    <w:p w:rsidR="00000000" w:rsidRDefault="003E5AFF">
      <w:pPr>
        <w:pStyle w:val="NormalWeb"/>
        <w:spacing w:before="120" w:beforeAutospacing="0" w:after="0" w:afterAutospacing="0"/>
      </w:pPr>
      <w:r>
        <w:rPr>
          <w:rFonts w:ascii="Arial" w:hAnsi="Arial" w:cs="Arial"/>
        </w:rPr>
        <w:t>Chile maintains one of the highest credit ratings in Latin America, currently rated A+ by Standard &amp; Poor_s Financial Servic</w:t>
      </w:r>
      <w:r>
        <w:rPr>
          <w:rFonts w:ascii="Arial" w:hAnsi="Arial" w:cs="Arial"/>
        </w:rPr>
        <w:t xml:space="preserve">es LLC, (_S&amp;P_), AA3 by Moody_s Investors Service, Inc. (_Moody_s_) and A+ by Fitch, Inc. (_Fitch_), as of March 31, 2012. The future economic, social and political developments in Chile, over which we have no control, could have a material adverse effect </w:t>
      </w:r>
      <w:r>
        <w:rPr>
          <w:rFonts w:ascii="Arial" w:hAnsi="Arial" w:cs="Arial"/>
        </w:rPr>
        <w:t>on us, including imparing our business, financial condition or results of operations. Credit ratings are subject to periodic review and we cannot assure you that the current ratings will not be revised or lowered in the future. See _Risk Factors_Risks Rela</w:t>
      </w:r>
      <w:r>
        <w:rPr>
          <w:rFonts w:ascii="Arial" w:hAnsi="Arial" w:cs="Arial"/>
        </w:rPr>
        <w:t xml:space="preserve">ting to Chile._ </w:t>
      </w:r>
    </w:p>
    <w:p w:rsidR="00000000" w:rsidRDefault="003E5AFF">
      <w:pPr>
        <w:pStyle w:val="NormalWeb"/>
        <w:spacing w:before="240" w:beforeAutospacing="0" w:after="0" w:afterAutospacing="0"/>
      </w:pPr>
      <w:r>
        <w:rPr>
          <w:rFonts w:ascii="Arial" w:hAnsi="Arial" w:cs="Arial"/>
          <w:b/>
          <w:bCs/>
          <w:i/>
          <w:iCs/>
        </w:rPr>
        <w:t xml:space="preserve">Developments in the Argentine economy </w:t>
      </w:r>
    </w:p>
    <w:p w:rsidR="00000000" w:rsidRDefault="003E5AFF">
      <w:pPr>
        <w:pStyle w:val="NormalWeb"/>
        <w:spacing w:before="120" w:beforeAutospacing="0" w:after="0" w:afterAutospacing="0"/>
      </w:pPr>
      <w:r>
        <w:rPr>
          <w:rFonts w:ascii="Arial" w:hAnsi="Arial" w:cs="Arial"/>
        </w:rPr>
        <w:t>Our operations in Argentina accounted for 27.7% of our consolidated revenues from ordinary activities for the three months ended March 31, 2012, and thus the Company is also sensitive to macroeconomic</w:t>
      </w:r>
      <w:r>
        <w:rPr>
          <w:rFonts w:ascii="Arial" w:hAnsi="Arial" w:cs="Arial"/>
        </w:rPr>
        <w:t xml:space="preserve"> conditions in Argentina. </w:t>
      </w:r>
    </w:p>
    <w:p w:rsidR="00000000" w:rsidRDefault="003E5AFF">
      <w:pPr>
        <w:pStyle w:val="NormalWeb"/>
        <w:spacing w:before="120" w:beforeAutospacing="0" w:after="0" w:afterAutospacing="0"/>
      </w:pPr>
      <w:r>
        <w:rPr>
          <w:rFonts w:ascii="Arial" w:hAnsi="Arial" w:cs="Arial"/>
        </w:rPr>
        <w:t>From late 1998 to 2002, the Argentine economy went through an economic recession marked by reduced levels of consumption and investment and an elevated unemployment rate. As reported by the INDEC (Statistics and Census National B</w:t>
      </w:r>
      <w:r>
        <w:rPr>
          <w:rFonts w:ascii="Arial" w:hAnsi="Arial" w:cs="Arial"/>
        </w:rPr>
        <w:t>ureau), Argentina_s GDP decreased by 0.8% in 2000, 4.4% in 2001 and 10.9% in 2002. In December 2001, a deep economic and political crisis forced Argentina to declare a suspension on payment of its foreign debt. In early 2002, the government released the Ar</w:t>
      </w:r>
      <w:r>
        <w:rPr>
          <w:rFonts w:ascii="Arial" w:hAnsi="Arial" w:cs="Arial"/>
        </w:rPr>
        <w:t>gentine peso from its one-to-one peg to the U.S. dollar and allowed the exchange rate to float, resulting in a 49.6% devaluation of the Argentine peso from January 1, 2002 to December 31, 2002, according to the Central Bank of Argentina. From 2003 to 2010,</w:t>
      </w:r>
      <w:r>
        <w:rPr>
          <w:rFonts w:ascii="Arial" w:hAnsi="Arial" w:cs="Arial"/>
        </w:rPr>
        <w:t xml:space="preserve"> economic indicators showed signs of recovery, guided by a competitive exchange rate, a healthier international context, higher commodity prices and expansionary fiscal and monetary policies. In 2005, Argentina completed the restructuring of most of its 20</w:t>
      </w:r>
      <w:r>
        <w:rPr>
          <w:rFonts w:ascii="Arial" w:hAnsi="Arial" w:cs="Arial"/>
        </w:rPr>
        <w:t>01 defaulted public debt, which in turn reduced significantly the risk premium on its outstanding bonds. The government also is under negotiations to serve the remaining debt owed to the Paris Club. As a consequence, Argentina was able to decrease its publ</w:t>
      </w:r>
      <w:r>
        <w:rPr>
          <w:rFonts w:ascii="Arial" w:hAnsi="Arial" w:cs="Arial"/>
        </w:rPr>
        <w:t xml:space="preserve">ic-to-GDP ratio from 139% in 2003 to below 45% in 2010, as reported by the Ministry of Economy. </w:t>
      </w:r>
    </w:p>
    <w:p w:rsidR="00000000" w:rsidRDefault="003E5AFF">
      <w:pPr>
        <w:pStyle w:val="NormalWeb"/>
        <w:spacing w:before="120" w:beforeAutospacing="0" w:after="0" w:afterAutospacing="0"/>
      </w:pPr>
      <w:r>
        <w:rPr>
          <w:rFonts w:ascii="Arial" w:hAnsi="Arial" w:cs="Arial"/>
        </w:rPr>
        <w:t>According to the INDEC, the Argentine economy increased by 8.8% in 2003, 9.0% in 2004, 9.2% in 2005, 8.5% in 2006, 8.7% in 2007 and 6.8% in 2008. Due to the gl</w:t>
      </w:r>
      <w:r>
        <w:rPr>
          <w:rFonts w:ascii="Arial" w:hAnsi="Arial" w:cs="Arial"/>
        </w:rPr>
        <w:t>obal financial crisis, Argentina_s GDP grew by only 0.9% in 2009. In 2010 and 2011, the Argentine economy showed strong signs of recovery, growing by 9.2% and 8.9% in 2010 and 2011, respectively, according to the Ministry of Economy. Unemployment levels al</w:t>
      </w:r>
      <w:r>
        <w:rPr>
          <w:rFonts w:ascii="Arial" w:hAnsi="Arial" w:cs="Arial"/>
        </w:rPr>
        <w:t>so improved, from 8.4% and 7.3% in the fourth quarter of 2009 and 2010, respectively, to 6.7% in the fourth quarter of 2011, as reported by INDEC. Both public and private consumption and investment were among the leading contributors to the economic growth</w:t>
      </w:r>
      <w:r>
        <w:rPr>
          <w:rFonts w:ascii="Arial" w:hAnsi="Arial" w:cs="Arial"/>
        </w:rPr>
        <w:t>. As reported by the Ministry of Economy, consumption and investment increased 9.1% and 21.2% in real terms in 2010, respectively. Consumption was supported by local conditions as well as wider access to consumer credit, as represented in the retail or aut</w:t>
      </w:r>
      <w:r>
        <w:rPr>
          <w:rFonts w:ascii="Arial" w:hAnsi="Arial" w:cs="Arial"/>
        </w:rPr>
        <w:t>omobile sector. Argentina_s retail market is an underpenetrated sector, as the formal retail sector accounts for 42% of the retail sector, according to ILACAD. As reported by INDEC, supermarkets sales increased 16% in 2009, 29% in 2010 and 28% in 2011. Car</w:t>
      </w:r>
      <w:r>
        <w:rPr>
          <w:rFonts w:ascii="Arial" w:hAnsi="Arial" w:cs="Arial"/>
        </w:rPr>
        <w:t xml:space="preserve"> sales, on the other hand, also recovered rapidly from the negative impact of the financial crisis. Although car sales decreased in 2009 by 20%, they grew by 43% and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- 107 - </w:t>
      </w:r>
    </w:p>
    <w:p w:rsidR="00000000" w:rsidRDefault="003E5AFF">
      <w:pPr>
        <w:rPr>
          <w:rFonts w:eastAsia="Times New Roman" w:cs="Times New Roman"/>
        </w:rPr>
      </w:pPr>
      <w:r>
        <w:rPr>
          <w:rFonts w:eastAsia="Times New Roman" w:cs="Times New Roman"/>
        </w:rPr>
        <w:pict>
          <v:rect id="_x0000_i1141" style="width:441.9pt;height:3pt" o:hralign="center" o:hrstd="t" o:hrnoshade="t" o:hr="t" fillcolor="#999" stroked="f"/>
        </w:pict>
      </w:r>
    </w:p>
    <w:p w:rsidR="00000000" w:rsidRDefault="003E5AFF">
      <w:pPr>
        <w:pStyle w:val="Heading5"/>
        <w:rPr>
          <w:rFonts w:eastAsia="Times New Roman" w:cs="Times New Roman"/>
        </w:rPr>
      </w:pPr>
      <w:hyperlink r:id="rId15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26% in 2010 and 2011, respectively, according to INDEC. As an effect of high consumption, however, the country has experienced infl</w:t>
      </w:r>
      <w:r>
        <w:rPr>
          <w:rFonts w:ascii="Arial" w:hAnsi="Arial" w:cs="Arial"/>
        </w:rPr>
        <w:t>ation of 11% in 2010, 10% in 2011 and 9.8% for the three months ended March 31, 2012, as reported by INDEC, exceeding that of other countries in South America, according to Global Insight. Regarding the balance of payments, exports and imports increased 22</w:t>
      </w:r>
      <w:r>
        <w:rPr>
          <w:rFonts w:ascii="Arial" w:hAnsi="Arial" w:cs="Arial"/>
        </w:rPr>
        <w:t>% and 46% in 2010, respectively and 24% and 31% in 2011, the growth in the imports being a reflection of the recovery in household consumption levels according to Global Insight. As per the Central Bank of Argentina, international reserves reached a record</w:t>
      </w:r>
      <w:r>
        <w:rPr>
          <w:rFonts w:ascii="Arial" w:hAnsi="Arial" w:cs="Arial"/>
        </w:rPr>
        <w:t xml:space="preserve">-high of over U.S.$52 billion in 2010 and a level of U.S.$46 billion in 2011. </w:t>
      </w:r>
    </w:p>
    <w:p w:rsidR="00000000" w:rsidRDefault="003E5AFF">
      <w:pPr>
        <w:pStyle w:val="NormalWeb"/>
        <w:spacing w:before="120" w:beforeAutospacing="0" w:after="0" w:afterAutospacing="0"/>
      </w:pPr>
      <w:r>
        <w:rPr>
          <w:rFonts w:ascii="Arial" w:hAnsi="Arial" w:cs="Arial"/>
        </w:rPr>
        <w:t>After several years of price stability, the devaluation of the Argentine peso in January 2002 created pressures on the domestic price system that generated high inflation in 200</w:t>
      </w:r>
      <w:r>
        <w:rPr>
          <w:rFonts w:ascii="Arial" w:hAnsi="Arial" w:cs="Arial"/>
        </w:rPr>
        <w:t>2 before substantially stabilizing in 2003. However, consumer prices increased by 12.3% in 2005, 9.8% in 2006, 8.5% in 2007, 7.2% in 2008, 7.7% in 2009, 10.9% in 2010, 9.5% in 2011, and 9.8% for the three months ended March 31, 2012, according to the INDEC</w:t>
      </w:r>
      <w:r>
        <w:rPr>
          <w:rFonts w:ascii="Arial" w:hAnsi="Arial" w:cs="Arial"/>
        </w:rPr>
        <w:t>, and private institutes estimate that consumer prices have increased significantly more than official estimates. The local interest rate, the BAIBAR was 9.45%, 10.11%, 9.08% and 9.25% on December 30, 2009, December 30, 2010, December 30, 2011 and March 31</w:t>
      </w:r>
      <w:r>
        <w:rPr>
          <w:rFonts w:ascii="Arial" w:hAnsi="Arial" w:cs="Arial"/>
        </w:rPr>
        <w:t xml:space="preserve">, 2012, respectively, as reported by the Central Bank. </w:t>
      </w:r>
    </w:p>
    <w:p w:rsidR="00000000" w:rsidRDefault="003E5AFF">
      <w:pPr>
        <w:pStyle w:val="NormalWeb"/>
        <w:spacing w:before="120" w:beforeAutospacing="0" w:after="0" w:afterAutospacing="0"/>
      </w:pPr>
      <w:r>
        <w:rPr>
          <w:rFonts w:ascii="Arial" w:hAnsi="Arial" w:cs="Arial"/>
        </w:rPr>
        <w:t>Argentina is rated B by S&amp;P, B3 by Moody_s and B by Fitch, as of March 31, 2012. The future economic, social and political developments in Argentina, over which we have no control, could impair busine</w:t>
      </w:r>
      <w:r>
        <w:rPr>
          <w:rFonts w:ascii="Arial" w:hAnsi="Arial" w:cs="Arial"/>
        </w:rPr>
        <w:t xml:space="preserve">ss, financial condition or results of operations. Credit ratings are subject to periodic review and we cannot assure you that the current ratings will not be revised or lowered in the future. See _Risk Factors_Risks Relating to Argentina._ </w:t>
      </w:r>
    </w:p>
    <w:p w:rsidR="00000000" w:rsidRDefault="003E5AFF">
      <w:pPr>
        <w:pStyle w:val="NormalWeb"/>
        <w:spacing w:before="240" w:beforeAutospacing="0" w:after="0" w:afterAutospacing="0"/>
      </w:pPr>
      <w:r>
        <w:rPr>
          <w:rFonts w:ascii="Arial" w:hAnsi="Arial" w:cs="Arial"/>
          <w:b/>
          <w:bCs/>
          <w:i/>
          <w:iCs/>
        </w:rPr>
        <w:t>Developments in</w:t>
      </w:r>
      <w:r>
        <w:rPr>
          <w:rFonts w:ascii="Arial" w:hAnsi="Arial" w:cs="Arial"/>
          <w:b/>
          <w:bCs/>
          <w:i/>
          <w:iCs/>
        </w:rPr>
        <w:t xml:space="preserve"> the Brazilian economy </w:t>
      </w:r>
    </w:p>
    <w:p w:rsidR="00000000" w:rsidRDefault="003E5AFF">
      <w:pPr>
        <w:pStyle w:val="NormalWeb"/>
        <w:spacing w:before="120" w:beforeAutospacing="0" w:after="0" w:afterAutospacing="0"/>
      </w:pPr>
      <w:r>
        <w:rPr>
          <w:rFonts w:ascii="Arial" w:hAnsi="Arial" w:cs="Arial"/>
        </w:rPr>
        <w:t xml:space="preserve">Our operations in Brazil accounted for 25.5% of our consolidated revenues from ordinary activities for the three months ended March 31, 2012, and thus the Company is also sensitive to macroeconomic conditions in Brazil. </w:t>
      </w:r>
    </w:p>
    <w:p w:rsidR="00000000" w:rsidRDefault="003E5AFF">
      <w:pPr>
        <w:pStyle w:val="NormalWeb"/>
        <w:spacing w:before="120" w:beforeAutospacing="0" w:after="0" w:afterAutospacing="0"/>
      </w:pPr>
      <w:r>
        <w:rPr>
          <w:rFonts w:ascii="Arial" w:hAnsi="Arial" w:cs="Arial"/>
        </w:rPr>
        <w:t>In recent years, we have benefited from Brazil_s reasonably stable economic environment, with average annual GDP growth of 4.5% from 2004 to 2010, as reported by the Central Bank of Brazil. The downward trend in inflation in recent years has allowed the Ce</w:t>
      </w:r>
      <w:r>
        <w:rPr>
          <w:rFonts w:ascii="Arial" w:hAnsi="Arial" w:cs="Arial"/>
        </w:rPr>
        <w:t>ntral Bank of Brazil to ease the short-term benchmark interest rate to 9.0% as of March 31, 2012, from 17.75% at December 2004. In 2009, the Brazilian economy stagnated in the wake of the global economic and financial crisis; however, by the second quarter</w:t>
      </w:r>
      <w:r>
        <w:rPr>
          <w:rFonts w:ascii="Arial" w:hAnsi="Arial" w:cs="Arial"/>
        </w:rPr>
        <w:t xml:space="preserve"> of 2009 the Brazilian economy had emerged from recession and started to regain its growth momentum. To mitigate the impact of the global economic and financial crisis, the Central Bank of Brazil responded in 2009 with a number of measures. Besides reducin</w:t>
      </w:r>
      <w:r>
        <w:rPr>
          <w:rFonts w:ascii="Arial" w:hAnsi="Arial" w:cs="Arial"/>
        </w:rPr>
        <w:t>g the SELIC rate, the Central Bank of Brazil deployed part of its international reserves to replace international credit lines impacted by the Lehman bankruptcy and reduced reserve requirements with the specific purpose of acquiring assets from small banks</w:t>
      </w:r>
      <w:r>
        <w:rPr>
          <w:rFonts w:ascii="Arial" w:hAnsi="Arial" w:cs="Arial"/>
        </w:rPr>
        <w:t xml:space="preserve"> and increasing the insurance limit for small banks_ time deposits. These initiatives, along with fiscal measures, contributed to keeping the recession relatively brief (mostly concentrated between the fourth quarter of 2008 and the first quarter of 2009) </w:t>
      </w:r>
      <w:r>
        <w:rPr>
          <w:rFonts w:ascii="Arial" w:hAnsi="Arial" w:cs="Arial"/>
        </w:rPr>
        <w:t xml:space="preserve">and ensured a strong recovery in the second half of 2009, as reported by the Central Bank of Brazil. </w:t>
      </w:r>
    </w:p>
    <w:p w:rsidR="00000000" w:rsidRDefault="003E5AFF">
      <w:pPr>
        <w:pStyle w:val="NormalWeb"/>
        <w:spacing w:before="120" w:beforeAutospacing="0" w:after="0" w:afterAutospacing="0"/>
      </w:pPr>
      <w:r>
        <w:rPr>
          <w:rFonts w:ascii="Arial" w:hAnsi="Arial" w:cs="Arial"/>
        </w:rPr>
        <w:t>The unemployment rate in Brazil has decreased significantly in the past decade from 10.5% at December 2002 to 6.2% as of March 31, 2012, as reported by th</w:t>
      </w:r>
      <w:r>
        <w:rPr>
          <w:rFonts w:ascii="Arial" w:hAnsi="Arial" w:cs="Arial"/>
        </w:rPr>
        <w:t xml:space="preserve">e Central Bank of Brazil. At the end of 2011, the unemployment rate was at the lowest level in ten years at 4.7%. At the same time, private consumption has followed a similar positive trend. As reported by the IBGE, private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- 108 - </w:t>
      </w:r>
    </w:p>
    <w:p w:rsidR="00000000" w:rsidRDefault="003E5AFF">
      <w:pPr>
        <w:rPr>
          <w:rFonts w:eastAsia="Times New Roman" w:cs="Times New Roman"/>
        </w:rPr>
      </w:pPr>
      <w:r>
        <w:rPr>
          <w:rFonts w:eastAsia="Times New Roman" w:cs="Times New Roman"/>
        </w:rPr>
        <w:pict>
          <v:rect id="_x0000_i1142" style="width:441.9pt;height:3pt" o:hralign="center" o:hrstd="t" o:hrnoshade="t" o:hr="t" fillcolor="#999" stroked="f"/>
        </w:pict>
      </w:r>
    </w:p>
    <w:p w:rsidR="00000000" w:rsidRDefault="003E5AFF">
      <w:pPr>
        <w:pStyle w:val="Heading5"/>
        <w:rPr>
          <w:rFonts w:eastAsia="Times New Roman" w:cs="Times New Roman"/>
        </w:rPr>
      </w:pPr>
      <w:hyperlink r:id="rId15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consumption in Brazil g</w:t>
      </w:r>
      <w:r>
        <w:rPr>
          <w:rFonts w:ascii="Arial" w:hAnsi="Arial" w:cs="Arial"/>
        </w:rPr>
        <w:t>rew by 4.4%, 6.9% and 4.1% in 2009, 2010 and 2011, respectively. The decrease in unemployment and increase in private consumption have driven the growth of the retail sector as illustrated by the growth of 6.7% in 2011, according to IBGE. The Brazilian ret</w:t>
      </w:r>
      <w:r>
        <w:rPr>
          <w:rFonts w:ascii="Arial" w:hAnsi="Arial" w:cs="Arial"/>
        </w:rPr>
        <w:t xml:space="preserve">ail market is an underpenetrated sector as 58% of the sector is informal according to ILACAD. On September 22, 2009, Moody_s raised the nation_s sovereign rating to Baa3 from Ba1. Credit ratings are subject to periodic review and we cannot assure you that </w:t>
      </w:r>
      <w:r>
        <w:rPr>
          <w:rFonts w:ascii="Arial" w:hAnsi="Arial" w:cs="Arial"/>
        </w:rPr>
        <w:t xml:space="preserve">the current ratings will not be revised or lowered in the future. We believe that these upgrades contributed to further increases in the inflow of foreign capital, which in turn strengthened the real. As a result of the recovery of the economy, GDP growth </w:t>
      </w:r>
      <w:r>
        <w:rPr>
          <w:rFonts w:ascii="Arial" w:hAnsi="Arial" w:cs="Arial"/>
        </w:rPr>
        <w:t>was 7.5 % for 2010, as compared to 2009 when it contracted -0.3% as reported by the Central Bank of Brazil. Nonetheless, the growth of the Brazilian economy slowed down leading to a GDP growth of 2.7% for the 2011, as estimated by Global Insight. According</w:t>
      </w:r>
      <w:r>
        <w:rPr>
          <w:rFonts w:ascii="Arial" w:hAnsi="Arial" w:cs="Arial"/>
        </w:rPr>
        <w:t xml:space="preserve"> to _Boletim focus do Banco Central,_ Brazil_s GDP is estimated at 3.2% for 2012. The future economic, social and political developments in Brazil, over which we have no control, could impair our business, financial condition or results of operations. See </w:t>
      </w:r>
      <w:r>
        <w:rPr>
          <w:rFonts w:ascii="Arial" w:hAnsi="Arial" w:cs="Arial"/>
        </w:rPr>
        <w:t xml:space="preserve">_Risk Factors_Risks Relating to Brazil._ </w:t>
      </w:r>
    </w:p>
    <w:p w:rsidR="00000000" w:rsidRDefault="003E5AFF">
      <w:pPr>
        <w:pStyle w:val="NormalWeb"/>
        <w:spacing w:before="120" w:beforeAutospacing="0" w:after="0" w:afterAutospacing="0"/>
      </w:pPr>
      <w:r>
        <w:rPr>
          <w:rFonts w:ascii="Arial" w:hAnsi="Arial" w:cs="Arial"/>
        </w:rPr>
        <w:t>In early 2011, the Central Bank of Brazil, through its Monetary Policy Committee, raised the SELIC from 10.75% at December 31, 2010 up to 12.50% on July 20, 2011 in order to control inflation. Later that year, as t</w:t>
      </w:r>
      <w:r>
        <w:rPr>
          <w:rFonts w:ascii="Arial" w:hAnsi="Arial" w:cs="Arial"/>
        </w:rPr>
        <w:t>he European debt crisis worsened, the Monetary Policy Committee changed its monetary policy focusing on economical growth rather than inflation control. As a consequence, since mid-2011, the SELIC rate was reduced several times by that Committee reaching 9</w:t>
      </w:r>
      <w:r>
        <w:rPr>
          <w:rFonts w:ascii="Arial" w:hAnsi="Arial" w:cs="Arial"/>
        </w:rPr>
        <w:t>.0% on March 31, 2012, as reported by the Central Bank of Brazil. Annual inflation rates are measured in Brazil through the Brazilian Extended Consumer Price Index (</w:t>
      </w:r>
      <w:r>
        <w:rPr>
          <w:rFonts w:ascii="Arial" w:hAnsi="Arial" w:cs="Arial"/>
          <w:i/>
          <w:iCs/>
        </w:rPr>
        <w:t>_ndice de Pre_os ao Consumidor Amplo</w:t>
      </w:r>
      <w:r>
        <w:rPr>
          <w:rFonts w:ascii="Arial" w:hAnsi="Arial" w:cs="Arial"/>
        </w:rPr>
        <w:t>), or IPCA, as calculated by the IBGE. The IPCA inflati</w:t>
      </w:r>
      <w:r>
        <w:rPr>
          <w:rFonts w:ascii="Arial" w:hAnsi="Arial" w:cs="Arial"/>
        </w:rPr>
        <w:t>on rate was 5.9% in 2008, 4.3% in 2009, 5.9% in 2010, 6.5% in 2011 and 5.5% as of March 31, 2012, as measured by the IPCA. According to _Boletim focus do Banco Central,_ the IPCA is estimated to be around 5.3% in 2012. See _Risk Factors_Risks Relating to B</w:t>
      </w:r>
      <w:r>
        <w:rPr>
          <w:rFonts w:ascii="Arial" w:hAnsi="Arial" w:cs="Arial"/>
        </w:rPr>
        <w:t xml:space="preserve">razil._ </w:t>
      </w:r>
    </w:p>
    <w:p w:rsidR="00000000" w:rsidRDefault="003E5AFF">
      <w:pPr>
        <w:pStyle w:val="NormalWeb"/>
        <w:spacing w:before="240" w:beforeAutospacing="0" w:after="0" w:afterAutospacing="0"/>
      </w:pPr>
      <w:r>
        <w:rPr>
          <w:rFonts w:ascii="Arial" w:hAnsi="Arial" w:cs="Arial"/>
          <w:b/>
          <w:bCs/>
          <w:i/>
          <w:iCs/>
        </w:rPr>
        <w:t xml:space="preserve">Developments in the Peruvian economy </w:t>
      </w:r>
    </w:p>
    <w:p w:rsidR="00000000" w:rsidRDefault="003E5AFF">
      <w:pPr>
        <w:pStyle w:val="NormalWeb"/>
        <w:spacing w:before="120" w:beforeAutospacing="0" w:after="0" w:afterAutospacing="0"/>
      </w:pPr>
      <w:r>
        <w:rPr>
          <w:rFonts w:ascii="Arial" w:hAnsi="Arial" w:cs="Arial"/>
        </w:rPr>
        <w:t xml:space="preserve">Our operations in Peru accounted for 8.0% of our consolidated revenues from ordinary activities for the three months ended March 31, 2012, and thus the Company is also sensitive to macroeconomic conditions in </w:t>
      </w:r>
      <w:r>
        <w:rPr>
          <w:rFonts w:ascii="Arial" w:hAnsi="Arial" w:cs="Arial"/>
        </w:rPr>
        <w:t xml:space="preserve">Peru. </w:t>
      </w:r>
    </w:p>
    <w:p w:rsidR="00000000" w:rsidRDefault="003E5AFF">
      <w:pPr>
        <w:pStyle w:val="NormalWeb"/>
        <w:spacing w:before="120" w:beforeAutospacing="0" w:after="0" w:afterAutospacing="0"/>
      </w:pPr>
      <w:r>
        <w:rPr>
          <w:rFonts w:ascii="Arial" w:hAnsi="Arial" w:cs="Arial"/>
        </w:rPr>
        <w:t>According to the Central Bank of Peru, Peruvian GDP grew 6.9% and 8.8% in 2011 and 2010, respectively, returning to the growth rates seen in 2007 and 2008 (8.9% and 9.8%, respectively). The Peruvian government adopted fiscal and monetary stimulus to</w:t>
      </w:r>
      <w:r>
        <w:rPr>
          <w:rFonts w:ascii="Arial" w:hAnsi="Arial" w:cs="Arial"/>
        </w:rPr>
        <w:t xml:space="preserve"> mitigate the global financial and economic crisis and, as a result, growth recovered in the fourth quarter of 2009, as reported by the Central Bank of Peru. Internal demand grew 13.1% with private investment leading the recovery with growth rates of 22.1%</w:t>
      </w:r>
      <w:r>
        <w:rPr>
          <w:rFonts w:ascii="Arial" w:hAnsi="Arial" w:cs="Arial"/>
        </w:rPr>
        <w:t xml:space="preserve"> according to the Central Bank of Peru. Production of non primary and labor intensive sectors like construction and manufacturing helped to boost employment and private consumption. Urban unemployment rates have remained at stable and low levels during rec</w:t>
      </w:r>
      <w:r>
        <w:rPr>
          <w:rFonts w:ascii="Arial" w:hAnsi="Arial" w:cs="Arial"/>
        </w:rPr>
        <w:t>ent years. According to the INEI, in 2009 and 2010 unemployment rate was 5.3% and 5.9%, respectively. Similarly, Global Insight records total unemployment rate of 7.9% and 7.2% in 2009 and 2010, respectively, and estimates a rate of 7.8% in 2011. In this c</w:t>
      </w:r>
      <w:r>
        <w:rPr>
          <w:rFonts w:ascii="Arial" w:hAnsi="Arial" w:cs="Arial"/>
        </w:rPr>
        <w:t>ontext the Central Bank of Peru started a progressive withdrawal of monetary stimulus raising the reserve ratios and reference interest rate from 3.25% to 4.25% during the first and fourth quarter of 2011. Fiscal deficit was reduced from 1.6% to 0.5% due t</w:t>
      </w:r>
      <w:r>
        <w:rPr>
          <w:rFonts w:ascii="Arial" w:hAnsi="Arial" w:cs="Arial"/>
        </w:rPr>
        <w:t xml:space="preserve">o an increase in tax collections and consistent with the government_s slow down of fiscal expenditures, according to the Central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- 109 - </w:t>
      </w:r>
    </w:p>
    <w:p w:rsidR="00000000" w:rsidRDefault="003E5AFF">
      <w:pPr>
        <w:rPr>
          <w:rFonts w:eastAsia="Times New Roman" w:cs="Times New Roman"/>
        </w:rPr>
      </w:pPr>
      <w:r>
        <w:rPr>
          <w:rFonts w:eastAsia="Times New Roman" w:cs="Times New Roman"/>
        </w:rPr>
        <w:pict>
          <v:rect id="_x0000_i1143" style="width:441.9pt;height:3pt" o:hralign="center" o:hrstd="t" o:hrnoshade="t" o:hr="t" fillcolor="#999" stroked="f"/>
        </w:pict>
      </w:r>
    </w:p>
    <w:p w:rsidR="00000000" w:rsidRDefault="003E5AFF">
      <w:pPr>
        <w:pStyle w:val="Heading5"/>
        <w:rPr>
          <w:rFonts w:eastAsia="Times New Roman" w:cs="Times New Roman"/>
        </w:rPr>
      </w:pPr>
      <w:hyperlink r:id="rId16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Bank of Peru. CPI index increased from 2.1% in 2010 to 4.7% in 2011, as reported by INEI. The formal sector represents only 30% of the </w:t>
      </w:r>
      <w:r>
        <w:rPr>
          <w:rFonts w:ascii="Arial" w:hAnsi="Arial" w:cs="Arial"/>
        </w:rPr>
        <w:t xml:space="preserve">retail sector in Peru according to ILACAD. </w:t>
      </w:r>
    </w:p>
    <w:p w:rsidR="00000000" w:rsidRDefault="003E5AFF">
      <w:pPr>
        <w:pStyle w:val="NormalWeb"/>
        <w:spacing w:before="120" w:beforeAutospacing="0" w:after="0" w:afterAutospacing="0"/>
      </w:pPr>
      <w:r>
        <w:rPr>
          <w:rFonts w:ascii="Arial" w:hAnsi="Arial" w:cs="Arial"/>
        </w:rPr>
        <w:t>As reported by the Central Bank of Peru, in the first half of 2011, the Peruvian economy kept growing, although to a lesser extent, at a similar pace observed in 2010, with GDP growing by nearly 8.8% in the first</w:t>
      </w:r>
      <w:r>
        <w:rPr>
          <w:rFonts w:ascii="Arial" w:hAnsi="Arial" w:cs="Arial"/>
        </w:rPr>
        <w:t xml:space="preserve"> quarter, 6.9% in the second quarter and 6.7% in the third quarter of 2011 and 5.5% in the fourth quarter of 2011. The main drivers of Peru_s economic performance have been strong domestic demand and private investment. As reported by the Central Bank of P</w:t>
      </w:r>
      <w:r>
        <w:rPr>
          <w:rFonts w:ascii="Arial" w:hAnsi="Arial" w:cs="Arial"/>
        </w:rPr>
        <w:t>eru, private investment increased 11.7% in 2011, which represents 19.6% of GDP. As of December 2011, private investment projects valued at U.S.$16.8 billion have been announced for 2012 (excluding the temporarily postponed Congas mining project) and U.S.$1</w:t>
      </w:r>
      <w:r>
        <w:rPr>
          <w:rFonts w:ascii="Arial" w:hAnsi="Arial" w:cs="Arial"/>
        </w:rPr>
        <w:t xml:space="preserve">6.5 billion for 2013 according to the Central Bank of Peru. The majority of these anticipated investments will be concentrated in the mining and oil industry. </w:t>
      </w:r>
    </w:p>
    <w:p w:rsidR="00000000" w:rsidRDefault="003E5AFF">
      <w:pPr>
        <w:pStyle w:val="NormalWeb"/>
        <w:spacing w:before="120" w:beforeAutospacing="0" w:after="0" w:afterAutospacing="0"/>
      </w:pPr>
      <w:r>
        <w:rPr>
          <w:rFonts w:ascii="Arial" w:hAnsi="Arial" w:cs="Arial"/>
        </w:rPr>
        <w:t xml:space="preserve">In the second half of 2011 the Peruvian economy started to show signs of slowdown driven by the </w:t>
      </w:r>
      <w:r>
        <w:rPr>
          <w:rFonts w:ascii="Arial" w:hAnsi="Arial" w:cs="Arial"/>
        </w:rPr>
        <w:t>uncertainty in connection with the election of President Humala and expectations of a recession in Europe and the United States. As reported by the Central Bank of Peru, internal demand has slowed down compared to 2010, which had year over year growth of 1</w:t>
      </w:r>
      <w:r>
        <w:rPr>
          <w:rFonts w:ascii="Arial" w:hAnsi="Arial" w:cs="Arial"/>
        </w:rPr>
        <w:t>3.6% compared to 5.2% growth in the fourth quarter of 2011. The Peruvian government_s commitment to the current economic, fiscal and monetary policies supported economic growth in 2011 and stabilized the country_s economy, which led to S&amp;P upgrading Peru_s</w:t>
      </w:r>
      <w:r>
        <w:rPr>
          <w:rFonts w:ascii="Arial" w:hAnsi="Arial" w:cs="Arial"/>
        </w:rPr>
        <w:t xml:space="preserve"> credit rating from BBB- to BBB in August 2011. In October 2011, Fitch upgraded Peru_s credit rating from BBB- to BBB. Credit ratings are subject to periodic review and we cannot assure you that the current ratings will not be revised or lowered in the fut</w:t>
      </w:r>
      <w:r>
        <w:rPr>
          <w:rFonts w:ascii="Arial" w:hAnsi="Arial" w:cs="Arial"/>
        </w:rPr>
        <w:t xml:space="preserve">ure. See _Risk Factors_Risks Relating to Peru._ </w:t>
      </w:r>
    </w:p>
    <w:p w:rsidR="00000000" w:rsidRDefault="003E5AFF">
      <w:pPr>
        <w:pStyle w:val="NormalWeb"/>
        <w:spacing w:before="120" w:beforeAutospacing="0" w:after="0" w:afterAutospacing="0"/>
      </w:pPr>
      <w:r>
        <w:rPr>
          <w:rFonts w:ascii="Arial" w:hAnsi="Arial" w:cs="Arial"/>
        </w:rPr>
        <w:t>The reductions on fiscal spending implemented during 2010 by the Peruvian government have improved fiscal reserves from U.S.$33 billion in 2009 to U.S.$48.8 billion in 2011 as reported by the Central Bank of</w:t>
      </w:r>
      <w:r>
        <w:rPr>
          <w:rFonts w:ascii="Arial" w:hAnsi="Arial" w:cs="Arial"/>
        </w:rPr>
        <w:t xml:space="preserve"> Peru. The withdrawal of the monetary stimulus was taken up by the Central Bank of Peru in 2011, which gradually raised its reference interest rate from 3.25% to 4.25% between January and May of 2011. Reserve ratio requirements for banks are 100 bps higher</w:t>
      </w:r>
      <w:r>
        <w:rPr>
          <w:rFonts w:ascii="Arial" w:hAnsi="Arial" w:cs="Arial"/>
        </w:rPr>
        <w:t xml:space="preserve"> than in December 2010 and have remained unchanged since May 2011. As reported by the Central Bank of Peru, the current average reserve levels in Nuevos Soles and U.S. dollars (13.7% and 38.3% respectively) reflects higher levels of liquidity in the financ</w:t>
      </w:r>
      <w:r>
        <w:rPr>
          <w:rFonts w:ascii="Arial" w:hAnsi="Arial" w:cs="Arial"/>
        </w:rPr>
        <w:t>ial system, which in the event of a severe liquidity crisis or global economic crisis can be used to alleviate the impact. The future economic, social and political developments in Peru, over which we have no control, could have a material adverse effect o</w:t>
      </w:r>
      <w:r>
        <w:rPr>
          <w:rFonts w:ascii="Arial" w:hAnsi="Arial" w:cs="Arial"/>
        </w:rPr>
        <w:t xml:space="preserve">n us. See _Risk Factors_Risks Relating to Peru._ </w:t>
      </w:r>
    </w:p>
    <w:p w:rsidR="00000000" w:rsidRDefault="003E5AFF">
      <w:pPr>
        <w:pStyle w:val="NormalWeb"/>
        <w:spacing w:before="240" w:beforeAutospacing="0" w:after="0" w:afterAutospacing="0"/>
      </w:pPr>
      <w:r>
        <w:rPr>
          <w:rFonts w:ascii="Arial" w:hAnsi="Arial" w:cs="Arial"/>
          <w:b/>
          <w:bCs/>
          <w:i/>
          <w:iCs/>
        </w:rPr>
        <w:t xml:space="preserve">Developments in the Colombian economy </w:t>
      </w:r>
    </w:p>
    <w:p w:rsidR="00000000" w:rsidRDefault="003E5AFF">
      <w:pPr>
        <w:pStyle w:val="NormalWeb"/>
        <w:spacing w:before="120" w:beforeAutospacing="0" w:after="0" w:afterAutospacing="0"/>
      </w:pPr>
      <w:r>
        <w:rPr>
          <w:rFonts w:ascii="Arial" w:hAnsi="Arial" w:cs="Arial"/>
        </w:rPr>
        <w:t>Our operations in Colombia accounted for 0.5% of our consolidated revenues from ordinary activities for the first three months of 2012, and thus the Company is less se</w:t>
      </w:r>
      <w:r>
        <w:rPr>
          <w:rFonts w:ascii="Arial" w:hAnsi="Arial" w:cs="Arial"/>
        </w:rPr>
        <w:t xml:space="preserve">nsitive to macroeconomic conditions in Colombia. </w:t>
      </w:r>
    </w:p>
    <w:p w:rsidR="00000000" w:rsidRDefault="003E5AFF">
      <w:pPr>
        <w:pStyle w:val="NormalWeb"/>
        <w:spacing w:before="120" w:beforeAutospacing="0" w:after="0" w:afterAutospacing="0"/>
      </w:pPr>
      <w:r>
        <w:rPr>
          <w:rFonts w:ascii="Arial" w:hAnsi="Arial" w:cs="Arial"/>
        </w:rPr>
        <w:t>In March, 2011, Colombia recovered its investment-grade ratings from Moody_s and S&amp;P, 11 years after its rating was cut to junk status when insurgent violence and a banking crisis triggered six straight qua</w:t>
      </w:r>
      <w:r>
        <w:rPr>
          <w:rFonts w:ascii="Arial" w:hAnsi="Arial" w:cs="Arial"/>
        </w:rPr>
        <w:t xml:space="preserve">rters of economic contraction between 1998 and 1999. </w:t>
      </w:r>
    </w:p>
    <w:p w:rsidR="00000000" w:rsidRDefault="003E5AFF">
      <w:pPr>
        <w:pStyle w:val="NormalWeb"/>
        <w:spacing w:before="120" w:beforeAutospacing="0" w:after="0" w:afterAutospacing="0"/>
      </w:pPr>
      <w:r>
        <w:rPr>
          <w:rFonts w:ascii="Arial" w:hAnsi="Arial" w:cs="Arial"/>
        </w:rPr>
        <w:t>Beginning in 2007 the nation grew rapidly, attracting a record $10.6 billion in foreign direct investment in 2008 according to the World Bank. However, Colombia_s credit rating was not raised to investm</w:t>
      </w:r>
      <w:r>
        <w:rPr>
          <w:rFonts w:ascii="Arial" w:hAnsi="Arial" w:cs="Arial"/>
        </w:rPr>
        <w:t xml:space="preserve">ent grade by Moody_s and S&amp;P until 2011, when economic growth accelerated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- 110 - </w:t>
      </w:r>
    </w:p>
    <w:p w:rsidR="00000000" w:rsidRDefault="003E5AFF">
      <w:pPr>
        <w:rPr>
          <w:rFonts w:eastAsia="Times New Roman" w:cs="Times New Roman"/>
        </w:rPr>
      </w:pPr>
      <w:r>
        <w:rPr>
          <w:rFonts w:eastAsia="Times New Roman" w:cs="Times New Roman"/>
        </w:rPr>
        <w:pict>
          <v:rect id="_x0000_i1144" style="width:441.9pt;height:3pt" o:hralign="center" o:hrstd="t" o:hrnoshade="t" o:hr="t" fillcolor="#999" stroked="f"/>
        </w:pict>
      </w:r>
    </w:p>
    <w:p w:rsidR="00000000" w:rsidRDefault="003E5AFF">
      <w:pPr>
        <w:pStyle w:val="Heading5"/>
        <w:rPr>
          <w:rFonts w:eastAsia="Times New Roman" w:cs="Times New Roman"/>
        </w:rPr>
      </w:pPr>
      <w:hyperlink r:id="rId161"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rPr>
        <w:t>and the threat posed by guerrilla groups and organized crime receded. Moody_s upgraded Colombia from Ba1 to Baa3, the lowest level of investment grade. Credit ratings are subject to periodic review and we cannot assure you that the current ratings</w:t>
      </w:r>
      <w:r>
        <w:rPr>
          <w:rFonts w:ascii="Arial" w:hAnsi="Arial" w:cs="Arial"/>
        </w:rPr>
        <w:t xml:space="preserve"> will not be revised or lowered in the future. </w:t>
      </w:r>
    </w:p>
    <w:p w:rsidR="00000000" w:rsidRDefault="003E5AFF">
      <w:pPr>
        <w:pStyle w:val="NormalWeb"/>
        <w:spacing w:before="120" w:beforeAutospacing="0" w:after="0" w:afterAutospacing="0"/>
      </w:pPr>
      <w:r>
        <w:rPr>
          <w:rFonts w:ascii="Arial" w:hAnsi="Arial" w:cs="Arial"/>
        </w:rPr>
        <w:t>The move put Colombia_s rating on par with Brazil, Peru and Panama. Security concerns, historically a major issue for Colombia, have not disappeared, but have been waning after several major government wins a</w:t>
      </w:r>
      <w:r>
        <w:rPr>
          <w:rFonts w:ascii="Arial" w:hAnsi="Arial" w:cs="Arial"/>
        </w:rPr>
        <w:t>gainst domestic guerrilla groups. Colombia has cut its intentional homicide rate by almost half since 2002, when former President Alvaro Uribe took office, according to the World Bank, and increased investor confidence by sustaining moderate fiscal deficit</w:t>
      </w:r>
      <w:r>
        <w:rPr>
          <w:rFonts w:ascii="Arial" w:hAnsi="Arial" w:cs="Arial"/>
        </w:rPr>
        <w:t xml:space="preserve">s, maintaining inflation stable and increasing economic growth according to Moody_s. </w:t>
      </w:r>
    </w:p>
    <w:p w:rsidR="00000000" w:rsidRDefault="003E5AFF">
      <w:pPr>
        <w:pStyle w:val="NormalWeb"/>
        <w:spacing w:before="120" w:beforeAutospacing="0" w:after="0" w:afterAutospacing="0"/>
      </w:pPr>
      <w:r>
        <w:rPr>
          <w:rFonts w:ascii="Arial" w:hAnsi="Arial" w:cs="Arial"/>
        </w:rPr>
        <w:t>We believe two events in 2011 are expected to have had a positive impact on the future performance of the Colombian economy: (1) U.S. Congressional approval of the United</w:t>
      </w:r>
      <w:r>
        <w:rPr>
          <w:rFonts w:ascii="Arial" w:hAnsi="Arial" w:cs="Arial"/>
        </w:rPr>
        <w:t xml:space="preserve"> States-Colombia Trade Promotion Agreement, which will eliminate certain tariffs and other barriers to trade between the United States and Colombia, and (2) integrated trading by the Peruvian, Chilean and Colombian stock markets, the first such arrangement</w:t>
      </w:r>
      <w:r>
        <w:rPr>
          <w:rFonts w:ascii="Arial" w:hAnsi="Arial" w:cs="Arial"/>
        </w:rPr>
        <w:t xml:space="preserve"> between exchanges in Latin America. The latter, we believe, will further spur investment in Colombia from the combined pool of savings in Chilean and Peruvian pension funds. </w:t>
      </w:r>
    </w:p>
    <w:p w:rsidR="00000000" w:rsidRDefault="003E5AFF">
      <w:pPr>
        <w:pStyle w:val="NormalWeb"/>
        <w:spacing w:before="120" w:beforeAutospacing="0" w:after="0" w:afterAutospacing="0"/>
      </w:pPr>
      <w:r>
        <w:rPr>
          <w:rFonts w:ascii="Arial" w:hAnsi="Arial" w:cs="Arial"/>
        </w:rPr>
        <w:t>We believe Colombia will be able to respond with both fiscal and monetary counte</w:t>
      </w:r>
      <w:r>
        <w:rPr>
          <w:rFonts w:ascii="Arial" w:hAnsi="Arial" w:cs="Arial"/>
        </w:rPr>
        <w:t>rcyclical policies if the international outlook further deteriorates. The most severe risks to the Colombian economy continue to be external; the consequences on the real economy of the sovereign debt crisis in Europe coupled with moderate growth in the Un</w:t>
      </w:r>
      <w:r>
        <w:rPr>
          <w:rFonts w:ascii="Arial" w:hAnsi="Arial" w:cs="Arial"/>
        </w:rPr>
        <w:t>ited States may affect commodity prices and foreign investment inflows to emerging markets. Domestically, the most significant risk is the failure to execute important public works that are part of the set of infrastructure projects the country desperately</w:t>
      </w:r>
      <w:r>
        <w:rPr>
          <w:rFonts w:ascii="Arial" w:hAnsi="Arial" w:cs="Arial"/>
        </w:rPr>
        <w:t xml:space="preserve"> needs and for which resources are available. See _Risk Factors_Risks Related to Colombia._ </w:t>
      </w:r>
    </w:p>
    <w:p w:rsidR="00000000" w:rsidRDefault="003E5AFF">
      <w:pPr>
        <w:pStyle w:val="NormalWeb"/>
        <w:spacing w:before="120" w:beforeAutospacing="0" w:after="0" w:afterAutospacing="0"/>
      </w:pPr>
      <w:r>
        <w:rPr>
          <w:rFonts w:ascii="Arial" w:hAnsi="Arial" w:cs="Arial"/>
        </w:rPr>
        <w:t>GDP is expected to grow 4.6% in 2012, as estimated by Global Insight. Economic indicators for the fourth quarter of 2011 showed favorable results, particularly ind</w:t>
      </w:r>
      <w:r>
        <w:rPr>
          <w:rFonts w:ascii="Arial" w:hAnsi="Arial" w:cs="Arial"/>
        </w:rPr>
        <w:t>ustrial production (_IP_). According to the Central Bank of Colombia, in 2011, IP increased 5.5% year over year, while retail sales increased 10.8% in the same period. In addition, the labor market has continued to improve, taking the national unemployment</w:t>
      </w:r>
      <w:r>
        <w:rPr>
          <w:rFonts w:ascii="Arial" w:hAnsi="Arial" w:cs="Arial"/>
        </w:rPr>
        <w:t xml:space="preserve"> figure to the single digits. Thus, given these positive results, GDP is expected to have expanded 5.9% in 2011 as a whole, as estimated by the Central Bank of Colombia. For 2012, we believe the dynamics of economic activity should depend critically on the</w:t>
      </w:r>
      <w:r>
        <w:rPr>
          <w:rFonts w:ascii="Arial" w:hAnsi="Arial" w:cs="Arial"/>
        </w:rPr>
        <w:t xml:space="preserve"> outcome of international events in Europe and the U.S. In particular, the government is expected to be the main driver of growth especially through its participation in civil work construction projects. The retail sector in Colombia is underpenetrated wit</w:t>
      </w:r>
      <w:r>
        <w:rPr>
          <w:rFonts w:ascii="Arial" w:hAnsi="Arial" w:cs="Arial"/>
        </w:rPr>
        <w:t xml:space="preserve">h 52% of the retail sector being informal according to ILACAD. </w:t>
      </w:r>
    </w:p>
    <w:p w:rsidR="00000000" w:rsidRDefault="003E5AFF">
      <w:pPr>
        <w:pStyle w:val="NormalWeb"/>
        <w:spacing w:before="120" w:beforeAutospacing="0" w:after="0" w:afterAutospacing="0"/>
      </w:pPr>
      <w:r>
        <w:rPr>
          <w:rFonts w:ascii="Arial" w:hAnsi="Arial" w:cs="Arial"/>
        </w:rPr>
        <w:t>Unemployment has gradually decreased in the last few years. According to the Central Bank of Colombia, the unemployment rate was 11.3% and 11.1% in 2009 and 2010, respectively, and estimated t</w:t>
      </w:r>
      <w:r>
        <w:rPr>
          <w:rFonts w:ascii="Arial" w:hAnsi="Arial" w:cs="Arial"/>
        </w:rPr>
        <w:t>o have decreased to 9.8% in 2011 and 10.4 as of March 31, 2012. Private consumption has recovered since 2009 as illustrated by the real growth rates of 0.9% and 5.0% in 2009 and 2010, respectively, and estimated growth rate of 6.7% in 2011 according to Glo</w:t>
      </w:r>
      <w:r>
        <w:rPr>
          <w:rFonts w:ascii="Arial" w:hAnsi="Arial" w:cs="Arial"/>
        </w:rPr>
        <w:t xml:space="preserve">bal Insight. We believe this increase in real growth rate has been a key driver in retail growth in Colombia </w:t>
      </w:r>
    </w:p>
    <w:p w:rsidR="00000000" w:rsidRDefault="003E5AFF">
      <w:pPr>
        <w:pStyle w:val="NormalWeb"/>
        <w:spacing w:before="120" w:beforeAutospacing="0" w:after="0" w:afterAutospacing="0"/>
      </w:pPr>
      <w:r>
        <w:rPr>
          <w:rFonts w:ascii="Arial" w:hAnsi="Arial" w:cs="Arial"/>
        </w:rPr>
        <w:t xml:space="preserve">Given the sound fundamentals of the Colombian economy, we expect that, independent of the outcome observed in 2012, growth should resume by 2013.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- 111 - </w:t>
      </w:r>
    </w:p>
    <w:p w:rsidR="00000000" w:rsidRDefault="003E5AFF">
      <w:pPr>
        <w:rPr>
          <w:rFonts w:eastAsia="Times New Roman" w:cs="Times New Roman"/>
        </w:rPr>
      </w:pPr>
      <w:r>
        <w:rPr>
          <w:rFonts w:eastAsia="Times New Roman" w:cs="Times New Roman"/>
        </w:rPr>
        <w:pict>
          <v:rect id="_x0000_i1145" style="width:441.9pt;height:3pt" o:hralign="center" o:hrstd="t" o:hrnoshade="t" o:hr="t" fillcolor="#999" stroked="f"/>
        </w:pict>
      </w:r>
    </w:p>
    <w:p w:rsidR="00000000" w:rsidRDefault="003E5AFF">
      <w:pPr>
        <w:pStyle w:val="Heading5"/>
        <w:rPr>
          <w:rFonts w:eastAsia="Times New Roman" w:cs="Times New Roman"/>
        </w:rPr>
      </w:pPr>
      <w:hyperlink r:id="rId16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Regarding external accounts, we expect foreign direct investment is expected to continue growing, even more after the recently approved Uni</w:t>
      </w:r>
      <w:r>
        <w:rPr>
          <w:rFonts w:ascii="Arial" w:hAnsi="Arial" w:cs="Arial"/>
        </w:rPr>
        <w:t xml:space="preserve">ted States-Colombia Trade Promotion Agreement, and important advances regarding safety that could allow more oil and mining exploration projects. The main risk to the forecasts comes from any external shock that could end up affecting commodity prices and </w:t>
      </w:r>
      <w:r>
        <w:rPr>
          <w:rFonts w:ascii="Arial" w:hAnsi="Arial" w:cs="Arial"/>
        </w:rPr>
        <w:t xml:space="preserve">foreign investment inflows. </w:t>
      </w:r>
    </w:p>
    <w:p w:rsidR="00000000" w:rsidRDefault="003E5AFF">
      <w:pPr>
        <w:pStyle w:val="NormalWeb"/>
        <w:spacing w:before="120" w:beforeAutospacing="0" w:after="0" w:afterAutospacing="0"/>
      </w:pPr>
      <w:r>
        <w:rPr>
          <w:rFonts w:ascii="Arial" w:hAnsi="Arial" w:cs="Arial"/>
        </w:rPr>
        <w:t>One factor which differentiates the Colombian recovery from its Latin American peers we believe has been the favorable behavior of inflation, which up until recently was well within the inflation target band of 2-4% set up by t</w:t>
      </w:r>
      <w:r>
        <w:rPr>
          <w:rFonts w:ascii="Arial" w:hAnsi="Arial" w:cs="Arial"/>
        </w:rPr>
        <w:t xml:space="preserve">he Central Bank of Colombia. More recently, however, headline inflation ended at 3.73% for 2011 and 3.40% for the first quarter of 2012, close to the 4% upper bound, due to transitory increases in prices of food. </w:t>
      </w:r>
    </w:p>
    <w:p w:rsidR="00000000" w:rsidRDefault="003E5AFF">
      <w:pPr>
        <w:pStyle w:val="NormalWeb"/>
        <w:spacing w:before="120" w:beforeAutospacing="0" w:after="0" w:afterAutospacing="0"/>
      </w:pPr>
      <w:r>
        <w:rPr>
          <w:rFonts w:ascii="Arial" w:hAnsi="Arial" w:cs="Arial"/>
        </w:rPr>
        <w:t>On the fiscal front, we expect that 2011 s</w:t>
      </w:r>
      <w:r>
        <w:rPr>
          <w:rFonts w:ascii="Arial" w:hAnsi="Arial" w:cs="Arial"/>
        </w:rPr>
        <w:t xml:space="preserve">hould have finished with better-than expected results, due to the positive evolution of tax revenues, along with lower spending execution by the central government, implying a significant carryover from 2011 to 2012. </w:t>
      </w:r>
    </w:p>
    <w:p w:rsidR="00000000" w:rsidRDefault="003E5AFF">
      <w:pPr>
        <w:pStyle w:val="NormalWeb"/>
        <w:spacing w:before="120" w:beforeAutospacing="0" w:after="0" w:afterAutospacing="0"/>
      </w:pPr>
      <w:r>
        <w:rPr>
          <w:rFonts w:ascii="Arial" w:hAnsi="Arial" w:cs="Arial"/>
        </w:rPr>
        <w:t>The future economic, social and politi</w:t>
      </w:r>
      <w:r>
        <w:rPr>
          <w:rFonts w:ascii="Arial" w:hAnsi="Arial" w:cs="Arial"/>
        </w:rPr>
        <w:t xml:space="preserve">cal developments in Colombia, over which we have no control, could impair our business, financial condition or results of operations. See _Risk Factors_Risks Related to Colombia._ </w:t>
      </w:r>
    </w:p>
    <w:p w:rsidR="00000000" w:rsidRDefault="003E5AFF">
      <w:pPr>
        <w:pStyle w:val="NormalWeb"/>
        <w:spacing w:before="240" w:beforeAutospacing="0" w:after="0" w:afterAutospacing="0"/>
      </w:pPr>
      <w:r>
        <w:rPr>
          <w:rFonts w:ascii="Arial" w:hAnsi="Arial" w:cs="Arial"/>
          <w:b/>
          <w:bCs/>
          <w:i/>
          <w:iCs/>
        </w:rPr>
        <w:t xml:space="preserve">Expansion activities </w:t>
      </w:r>
    </w:p>
    <w:p w:rsidR="00000000" w:rsidRDefault="003E5AFF">
      <w:pPr>
        <w:pStyle w:val="NormalWeb"/>
        <w:spacing w:before="120" w:beforeAutospacing="0" w:after="0" w:afterAutospacing="0"/>
      </w:pPr>
      <w:r>
        <w:rPr>
          <w:rFonts w:ascii="Arial" w:hAnsi="Arial" w:cs="Arial"/>
        </w:rPr>
        <w:t>A significant proportion of our expected revenue growth is based on our expansion activities, including acquisitions and organic growth. We forecast that our revenue for 2012 will be $18 billion, based on expected revenue growth of approximately $3.5 billi</w:t>
      </w:r>
      <w:r>
        <w:rPr>
          <w:rFonts w:ascii="Arial" w:hAnsi="Arial" w:cs="Arial"/>
        </w:rPr>
        <w:t>on, due primarily to our expansion activities. We expect that approximately $1.3 billion of this growth will come from our recent acquisitions of Johnson_s, with sales of $216 million in 2011, and Prezunic, with sales of $1,125 million in 2011 . The remain</w:t>
      </w:r>
      <w:r>
        <w:rPr>
          <w:rFonts w:ascii="Arial" w:hAnsi="Arial" w:cs="Arial"/>
        </w:rPr>
        <w:t>ing amount of revenue growth is expected to come from growth in same store sales and from the opening of new stores. Our organic expansion is described in greater detail in _Management_s Discussion and Analysis of Financial Condition and Results of Operati</w:t>
      </w:r>
      <w:r>
        <w:rPr>
          <w:rFonts w:ascii="Arial" w:hAnsi="Arial" w:cs="Arial"/>
        </w:rPr>
        <w:t xml:space="preserve">ons_Liquidity and Capital Resources_Capital Expenditures and Permanent Investments._ Historical information regarding our acquisitions and organic growth is presented below. </w:t>
      </w:r>
    </w:p>
    <w:p w:rsidR="00000000" w:rsidRDefault="003E5AFF">
      <w:pPr>
        <w:pStyle w:val="NormalWeb"/>
        <w:spacing w:before="240" w:beforeAutospacing="0" w:after="0" w:afterAutospacing="0"/>
      </w:pPr>
      <w:r>
        <w:rPr>
          <w:rFonts w:ascii="Arial" w:hAnsi="Arial" w:cs="Arial"/>
          <w:b/>
          <w:bCs/>
          <w:i/>
          <w:iCs/>
        </w:rPr>
        <w:t xml:space="preserve">Impact of acquisitions </w:t>
      </w:r>
    </w:p>
    <w:p w:rsidR="00000000" w:rsidRDefault="003E5AFF">
      <w:pPr>
        <w:pStyle w:val="NormalWeb"/>
        <w:spacing w:before="120" w:beforeAutospacing="0" w:after="0" w:afterAutospacing="0"/>
        <w:ind w:left="238" w:hanging="245"/>
      </w:pPr>
      <w:r>
        <w:rPr>
          <w:rFonts w:ascii="Arial" w:hAnsi="Arial" w:cs="Arial"/>
        </w:rPr>
        <w:t>In each of 2008, 2010, 2011 and 2012 we made the followin</w:t>
      </w:r>
      <w:r>
        <w:rPr>
          <w:rFonts w:ascii="Arial" w:hAnsi="Arial" w:cs="Arial"/>
        </w:rPr>
        <w:t xml:space="preserve">g significant acquisitions: </w:t>
      </w:r>
    </w:p>
    <w:p w:rsidR="00000000" w:rsidRDefault="003E5AFF">
      <w:pPr>
        <w:pStyle w:val="NormalWeb"/>
        <w:spacing w:before="120" w:beforeAutospacing="0" w:after="0" w:afterAutospacing="0"/>
      </w:pPr>
      <w:r>
        <w:rPr>
          <w:rFonts w:ascii="Arial" w:hAnsi="Arial" w:cs="Arial"/>
          <w:u w:val="single"/>
        </w:rPr>
        <w:t>Acquisition of Wong Stores in Peru</w:t>
      </w:r>
      <w:r>
        <w:rPr>
          <w:rFonts w:ascii="Arial" w:hAnsi="Arial" w:cs="Arial"/>
        </w:rPr>
        <w:t xml:space="preserve">.    In 2008, for U.S.$467 million (approximately Ch$217,295 million), we acquired 100% of the shares </w:t>
      </w:r>
      <w:r>
        <w:rPr>
          <w:rFonts w:ascii="Arial" w:hAnsi="Arial" w:cs="Arial"/>
        </w:rPr>
        <w:t xml:space="preserve">of GSW S.A. (_Wong_), which we believe was the largest supermarket operator in Peru as of March 31, 2012 in terms of revenues. We operated 74 Wong and Metro hypermarkets and supermarkets and two shopping centers in Peru as of March 31, 2012. For the three </w:t>
      </w:r>
      <w:r>
        <w:rPr>
          <w:rFonts w:ascii="Arial" w:hAnsi="Arial" w:cs="Arial"/>
        </w:rPr>
        <w:t xml:space="preserve">months ended March 31, 2012, our operations in Peru generated revenues from ordinary activities representing 8.0% our consolidated revenues from ordinary activities for such period. </w:t>
      </w:r>
    </w:p>
    <w:p w:rsidR="00000000" w:rsidRDefault="003E5AFF">
      <w:pPr>
        <w:pStyle w:val="NormalWeb"/>
        <w:spacing w:before="120" w:beforeAutospacing="0" w:after="0" w:afterAutospacing="0"/>
      </w:pPr>
      <w:r>
        <w:rPr>
          <w:rFonts w:ascii="Arial" w:hAnsi="Arial" w:cs="Arial"/>
        </w:rPr>
        <w:t>In order to finance our acquisition of GSW S.A., in December 2008 we issu</w:t>
      </w:r>
      <w:r>
        <w:rPr>
          <w:rFonts w:ascii="Arial" w:hAnsi="Arial" w:cs="Arial"/>
        </w:rPr>
        <w:t xml:space="preserve">ed 75 million shares on the Santiago Stock Exchange, raising U.S.$300 million. As part of the transaction, the Wong family subscribed for an additional 49.8 million of our shares for an aggregate subscription price of U.S.$200 million. We consolidated the </w:t>
      </w:r>
      <w:r>
        <w:rPr>
          <w:rFonts w:ascii="Arial" w:hAnsi="Arial" w:cs="Arial"/>
        </w:rPr>
        <w:t xml:space="preserve">results of Wong into our results of operation since the date of acquisition.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- 112 - </w:t>
      </w:r>
    </w:p>
    <w:p w:rsidR="00000000" w:rsidRDefault="003E5AFF">
      <w:pPr>
        <w:rPr>
          <w:rFonts w:eastAsia="Times New Roman" w:cs="Times New Roman"/>
        </w:rPr>
      </w:pPr>
      <w:r>
        <w:rPr>
          <w:rFonts w:eastAsia="Times New Roman" w:cs="Times New Roman"/>
        </w:rPr>
        <w:pict>
          <v:rect id="_x0000_i1146" style="width:441.9pt;height:3pt" o:hralign="center" o:hrstd="t" o:hrnoshade="t" o:hr="t" fillcolor="#999" stroked="f"/>
        </w:pict>
      </w:r>
    </w:p>
    <w:p w:rsidR="00000000" w:rsidRDefault="003E5AFF">
      <w:pPr>
        <w:pStyle w:val="Heading5"/>
        <w:rPr>
          <w:rFonts w:eastAsia="Times New Roman" w:cs="Times New Roman"/>
        </w:rPr>
      </w:pPr>
      <w:hyperlink r:id="rId16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u w:val="single"/>
        </w:rPr>
        <w:t>Acquisition of Super Familia Stores in Brazil</w:t>
      </w:r>
      <w:r>
        <w:rPr>
          <w:rFonts w:ascii="Arial" w:hAnsi="Arial" w:cs="Arial"/>
        </w:rPr>
        <w:t>.     In 2010, we acquired 100% of the outstanding shares of Super Fam_lia Comercial de Alimentos Ltda., operator of the Super Familia supermarket chain in Brazil, for U.S.$33.1 million (a</w:t>
      </w:r>
      <w:r>
        <w:rPr>
          <w:rFonts w:ascii="Arial" w:hAnsi="Arial" w:cs="Arial"/>
        </w:rPr>
        <w:t xml:space="preserve">pproximately Ch$17,396 million). Our acquisition consisted of four Super Familia stores in the city of Fortaleza, with a total sales area of 7,000 square meters, and two distribution centers. We consolidate the results of Super Familia into our results of </w:t>
      </w:r>
      <w:r>
        <w:rPr>
          <w:rFonts w:ascii="Arial" w:hAnsi="Arial" w:cs="Arial"/>
        </w:rPr>
        <w:t xml:space="preserve">operation since the date of acquisition and we rebranded the stores under our Gbarbosa brand in 2011. </w:t>
      </w:r>
    </w:p>
    <w:p w:rsidR="00000000" w:rsidRDefault="003E5AFF">
      <w:pPr>
        <w:pStyle w:val="NormalWeb"/>
        <w:spacing w:before="120" w:beforeAutospacing="0" w:after="0" w:afterAutospacing="0"/>
      </w:pPr>
      <w:r>
        <w:rPr>
          <w:rFonts w:ascii="Arial" w:hAnsi="Arial" w:cs="Arial"/>
          <w:u w:val="single"/>
        </w:rPr>
        <w:t>Acquisition of Perini Stores in Brazil</w:t>
      </w:r>
      <w:r>
        <w:rPr>
          <w:rFonts w:ascii="Arial" w:hAnsi="Arial" w:cs="Arial"/>
        </w:rPr>
        <w:t>.     In 2010, we acquired 100% of the outstanding shares of Perini Comercial do Alimento Ltda., operator of the fo</w:t>
      </w:r>
      <w:r>
        <w:rPr>
          <w:rFonts w:ascii="Arial" w:hAnsi="Arial" w:cs="Arial"/>
        </w:rPr>
        <w:t>ur-store chain of Perini supermarkets in the city of Salvador in Brazil, for U.S.$27.7 million (approximately Ch$14,899 million). Perini is a well-known brand in Brazil with 46 years in the market that targets the high-end retail customer segment, which co</w:t>
      </w:r>
      <w:r>
        <w:rPr>
          <w:rFonts w:ascii="Arial" w:hAnsi="Arial" w:cs="Arial"/>
        </w:rPr>
        <w:t>mplements our business portfolio in Brazil. In addition to the four Perini stores in the city of Salvador, we also acquired four additional points of sales inside shopping centers, with a total sales area of 4,900 square meters, and two distribution center</w:t>
      </w:r>
      <w:r>
        <w:rPr>
          <w:rFonts w:ascii="Arial" w:hAnsi="Arial" w:cs="Arial"/>
        </w:rPr>
        <w:t xml:space="preserve">s. We consolidated the results of Perini into our results of operation since the date of acquisition. </w:t>
      </w:r>
    </w:p>
    <w:p w:rsidR="00000000" w:rsidRDefault="003E5AFF">
      <w:pPr>
        <w:pStyle w:val="NormalWeb"/>
        <w:spacing w:before="120" w:beforeAutospacing="0" w:after="0" w:afterAutospacing="0"/>
      </w:pPr>
      <w:r>
        <w:rPr>
          <w:rFonts w:ascii="Arial" w:hAnsi="Arial" w:cs="Arial"/>
          <w:u w:val="single"/>
        </w:rPr>
        <w:t>Acquisition of Bretas Stores in Brazil</w:t>
      </w:r>
      <w:r>
        <w:rPr>
          <w:rFonts w:ascii="Arial" w:hAnsi="Arial" w:cs="Arial"/>
        </w:rPr>
        <w:t>.     On October 29, 2010, pursuant to a stock purchase agreement executed on October 15, 2010, through our subsidi</w:t>
      </w:r>
      <w:r>
        <w:rPr>
          <w:rFonts w:ascii="Arial" w:hAnsi="Arial" w:cs="Arial"/>
        </w:rPr>
        <w:t>ary GBarbosa Comercial Ltda. (_GBarbosa_), we acquired 100% of the outstanding shares of Fag Participa_oes Ltda. and Irm_os Bretas, Filhos e Cia Ltda. (the _Sellers_), which together owned and operated the Brazilian supermarket chain Bretas, which operates</w:t>
      </w:r>
      <w:r>
        <w:rPr>
          <w:rFonts w:ascii="Arial" w:hAnsi="Arial" w:cs="Arial"/>
        </w:rPr>
        <w:t xml:space="preserve"> 77 supermarkets, two distribution centers and 17 gas stations in Central and northern Brazil as of March 31, 2012. The aggregate purchase price of the acquisition was R$1.17 billion (approximately U.S.$705 million or Ch$336,630 million), payable as follow</w:t>
      </w:r>
      <w:r>
        <w:rPr>
          <w:rFonts w:ascii="Arial" w:hAnsi="Arial" w:cs="Arial"/>
        </w:rPr>
        <w:t>s: R$820 million on October 29, 2010 (the closing date of the transaction) and R$100 million on December 30, 2011. The balance of R$250 million will be paid on December 30, 2014. Pursuant to the stock purchase agreement, the Sellers committed to make their</w:t>
      </w:r>
      <w:r>
        <w:rPr>
          <w:rFonts w:ascii="Arial" w:hAnsi="Arial" w:cs="Arial"/>
        </w:rPr>
        <w:t xml:space="preserve"> best efforts to maintain, for a period of 20 years from the closing date of the transaction, the leases of premises to be opened during the end of 2010 and beginning of 2011 as well as the leases of properties that were leased by the Sellers at the time o</w:t>
      </w:r>
      <w:r>
        <w:rPr>
          <w:rFonts w:ascii="Arial" w:hAnsi="Arial" w:cs="Arial"/>
        </w:rPr>
        <w:t>f the transaction. Under the terms of the acquisition transaction, Bretas is expected to open 30 new supermarkets by 2013. Cencosud S.A. serves as guarantor of GBarbosa in the acquisition transaction, the acquisition was financed with internal cash resourc</w:t>
      </w:r>
      <w:r>
        <w:rPr>
          <w:rFonts w:ascii="Arial" w:hAnsi="Arial" w:cs="Arial"/>
        </w:rPr>
        <w:t xml:space="preserve">es and bank debt totaling U.S.$290 million. </w:t>
      </w:r>
    </w:p>
    <w:p w:rsidR="00000000" w:rsidRDefault="003E5AFF">
      <w:pPr>
        <w:pStyle w:val="NormalWeb"/>
        <w:spacing w:before="120" w:beforeAutospacing="0" w:after="0" w:afterAutospacing="0"/>
      </w:pPr>
      <w:r>
        <w:rPr>
          <w:rFonts w:ascii="Arial" w:hAnsi="Arial" w:cs="Arial"/>
        </w:rPr>
        <w:t>Through this strategic acquisition we entered the Brazilian states of Minas Gerais and Goias. The acquisition of Bretas doubled our presence in Brazil, and consolidated our position as Brazil_s fourth-largest su</w:t>
      </w:r>
      <w:r>
        <w:rPr>
          <w:rFonts w:ascii="Arial" w:hAnsi="Arial" w:cs="Arial"/>
        </w:rPr>
        <w:t xml:space="preserve">permarket operator in terms of revenues, as measured by ABRAS. We consolidated the results of Bretas into our results of operations since the date of acquisition. </w:t>
      </w:r>
    </w:p>
    <w:p w:rsidR="00000000" w:rsidRDefault="003E5AFF">
      <w:pPr>
        <w:pStyle w:val="NormalWeb"/>
        <w:spacing w:before="120" w:beforeAutospacing="0" w:after="0" w:afterAutospacing="0"/>
      </w:pPr>
      <w:r>
        <w:rPr>
          <w:rFonts w:ascii="Arial" w:hAnsi="Arial" w:cs="Arial"/>
          <w:u w:val="single"/>
        </w:rPr>
        <w:t>Acquisition of Cardoso Stores in Brazil</w:t>
      </w:r>
      <w:r>
        <w:rPr>
          <w:rFonts w:ascii="Arial" w:hAnsi="Arial" w:cs="Arial"/>
        </w:rPr>
        <w:t>.     In October 2011, we continued expanding into th</w:t>
      </w:r>
      <w:r>
        <w:rPr>
          <w:rFonts w:ascii="Arial" w:hAnsi="Arial" w:cs="Arial"/>
        </w:rPr>
        <w:t>e Brazilian market through the acquisition of Cardoso. Cardoso is a three-store supermarket chain in the state of Bahia, with net sales of approximately R$60 million (U.S.$35.9 million) in 2011. Cencosud negotiated the payment of the purchase price of R$18</w:t>
      </w:r>
      <w:r>
        <w:rPr>
          <w:rFonts w:ascii="Arial" w:hAnsi="Arial" w:cs="Arial"/>
        </w:rPr>
        <w:t xml:space="preserve"> million (approximately US$11.3 million or Ch$5,429 million) in three installments, 60% on the closing of the transaction, 20% on the 6-month anniversary of the closing date and the remaining 20% will be paid on the first year anniversary of the closing da</w:t>
      </w:r>
      <w:r>
        <w:rPr>
          <w:rFonts w:ascii="Arial" w:hAnsi="Arial" w:cs="Arial"/>
        </w:rPr>
        <w:t xml:space="preserve">te. We have converted the acquired stores to the GBarbosa format and are now operating those stores under this brand. We consolidated the results of Cardoso into our results of operation since the date of acquisition.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- 113 - </w:t>
      </w:r>
    </w:p>
    <w:p w:rsidR="00000000" w:rsidRDefault="003E5AFF">
      <w:pPr>
        <w:rPr>
          <w:rFonts w:eastAsia="Times New Roman" w:cs="Times New Roman"/>
        </w:rPr>
      </w:pPr>
      <w:r>
        <w:rPr>
          <w:rFonts w:eastAsia="Times New Roman" w:cs="Times New Roman"/>
        </w:rPr>
        <w:pict>
          <v:rect id="_x0000_i1147" style="width:441.9pt;height:3pt" o:hralign="center" o:hrstd="t" o:hrnoshade="t" o:hr="t" fillcolor="#999" stroked="f"/>
        </w:pict>
      </w:r>
    </w:p>
    <w:p w:rsidR="00000000" w:rsidRDefault="003E5AFF">
      <w:pPr>
        <w:pStyle w:val="Heading5"/>
        <w:rPr>
          <w:rFonts w:eastAsia="Times New Roman" w:cs="Times New Roman"/>
        </w:rPr>
      </w:pPr>
      <w:hyperlink r:id="rId16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u w:val="single"/>
        </w:rPr>
        <w:t>Acquisition of Johnson_s Stores in Chile</w:t>
      </w:r>
      <w:r>
        <w:rPr>
          <w:rFonts w:ascii="Arial" w:hAnsi="Arial" w:cs="Arial"/>
        </w:rPr>
        <w:t>.     In December 2</w:t>
      </w:r>
      <w:r>
        <w:rPr>
          <w:rFonts w:ascii="Arial" w:hAnsi="Arial" w:cs="Arial"/>
        </w:rPr>
        <w:t>011, we entered into an agreement with Johnson_s Inversiones S.A. (_Johnson_s Inversiones_) and Inversiones Bujorico Limitada (_Bujorico_ and together with Johnson_s Inversiones, the _Johnson_s Entities_), who together owned Johnson_s S.A. (_Johnson_s_). P</w:t>
      </w:r>
      <w:r>
        <w:rPr>
          <w:rFonts w:ascii="Arial" w:hAnsi="Arial" w:cs="Arial"/>
        </w:rPr>
        <w:t xml:space="preserve">ursuant to this agreement we acquired an 85.58% interest in Johnson_s for an aggregate purchase price of Ch$32,606 million. </w:t>
      </w:r>
    </w:p>
    <w:p w:rsidR="00000000" w:rsidRDefault="003E5AFF">
      <w:pPr>
        <w:pStyle w:val="NormalWeb"/>
        <w:spacing w:before="120" w:beforeAutospacing="0" w:after="0" w:afterAutospacing="0"/>
      </w:pPr>
      <w:r>
        <w:rPr>
          <w:rFonts w:ascii="Arial" w:hAnsi="Arial" w:cs="Arial"/>
        </w:rPr>
        <w:t>Johnson_s is a department store with 39 stores throughout Chile under the Johnson_s brand and an additional 13 stores under the FES</w:t>
      </w:r>
      <w:r>
        <w:rPr>
          <w:rFonts w:ascii="Arial" w:hAnsi="Arial" w:cs="Arial"/>
        </w:rPr>
        <w:t xml:space="preserve"> brand, with a total of 117,569 square meters of selling space. In 2011, Johnson_s registered sales of CLP$118,447 million from its retail operations. </w:t>
      </w:r>
    </w:p>
    <w:p w:rsidR="00000000" w:rsidRDefault="003E5AFF">
      <w:pPr>
        <w:pStyle w:val="NormalWeb"/>
        <w:spacing w:before="120" w:beforeAutospacing="0" w:after="0" w:afterAutospacing="0"/>
      </w:pPr>
      <w:r>
        <w:rPr>
          <w:rFonts w:ascii="Arial" w:hAnsi="Arial" w:cs="Arial"/>
        </w:rPr>
        <w:t>We plan to replace all Johnson_s credit cards with Cencosud credit cards, which will soon be accepted ac</w:t>
      </w:r>
      <w:r>
        <w:rPr>
          <w:rFonts w:ascii="Arial" w:hAnsi="Arial" w:cs="Arial"/>
        </w:rPr>
        <w:t xml:space="preserve">ross all our retail formats. With the acquisition of Johnson_s we are now able to target the low- and middle-income market segments in Chile. </w:t>
      </w:r>
    </w:p>
    <w:p w:rsidR="00000000" w:rsidRDefault="003E5AFF">
      <w:pPr>
        <w:pStyle w:val="NormalWeb"/>
        <w:spacing w:before="120" w:beforeAutospacing="0" w:after="0" w:afterAutospacing="0"/>
      </w:pPr>
      <w:r>
        <w:rPr>
          <w:rFonts w:ascii="Arial" w:hAnsi="Arial" w:cs="Arial"/>
          <w:u w:val="single"/>
        </w:rPr>
        <w:t>Acquisition of Prezunic in Brazil</w:t>
      </w:r>
      <w:r>
        <w:rPr>
          <w:rFonts w:ascii="Arial" w:hAnsi="Arial" w:cs="Arial"/>
        </w:rPr>
        <w:t>.     On January 2, 2012, pursuant to a stock purchase agreement executed on Nov</w:t>
      </w:r>
      <w:r>
        <w:rPr>
          <w:rFonts w:ascii="Arial" w:hAnsi="Arial" w:cs="Arial"/>
        </w:rPr>
        <w:t xml:space="preserve">ember 16, 2011, Cencosud Brasil S.A. (_Cencosud Brasil_) acquired from the Dias Da Cunha family 100% of the capital stock of Prezunic Comercial Ltda. (_Prezunic_). We estimate that Prezunic is the third-largest supermarket chain in Rio de Janeiro, with 31 </w:t>
      </w:r>
      <w:r>
        <w:rPr>
          <w:rFonts w:ascii="Arial" w:hAnsi="Arial" w:cs="Arial"/>
        </w:rPr>
        <w:t xml:space="preserve">stores and net sales of approximately R$2.2 billion in 2011. </w:t>
      </w:r>
    </w:p>
    <w:p w:rsidR="00000000" w:rsidRDefault="003E5AFF">
      <w:pPr>
        <w:pStyle w:val="NormalWeb"/>
        <w:spacing w:before="120" w:beforeAutospacing="0" w:after="0" w:afterAutospacing="0"/>
      </w:pPr>
      <w:r>
        <w:rPr>
          <w:rFonts w:ascii="Arial" w:hAnsi="Arial" w:cs="Arial"/>
        </w:rPr>
        <w:t>The aggregate purchase price of the operation was R$875 million (or approximately Ch$242,690 million), payable as follows: R$580 million on the closing date of the transaction (January 2, 2012),</w:t>
      </w:r>
      <w:r>
        <w:rPr>
          <w:rFonts w:ascii="Arial" w:hAnsi="Arial" w:cs="Arial"/>
        </w:rPr>
        <w:t xml:space="preserve"> from which R$190 million were deducted as working capital adjustments. The balance will be paid as follows: R$80 million, R$85 million, R$80 million and R$50 million, on the first, second, third and fourth anniversary of the closing date, respectively. Pu</w:t>
      </w:r>
      <w:r>
        <w:rPr>
          <w:rFonts w:ascii="Arial" w:hAnsi="Arial" w:cs="Arial"/>
        </w:rPr>
        <w:t>rsuant to the stock purchase agreement, Cencosud Brasil, considered a national supermarket operator, therefore able to get better terms from suppliers, was also granted a preferential right from third-party landowners to acquire or lease two supermarket pr</w:t>
      </w:r>
      <w:r>
        <w:rPr>
          <w:rFonts w:ascii="Arial" w:hAnsi="Arial" w:cs="Arial"/>
        </w:rPr>
        <w:t xml:space="preserve">operties that were not owned by Prezunic at the time of the transaction, but were instead leased. Under the terms of this agreement, Cencosud S.A. serves as guarantor of Cencosud Brasil. </w:t>
      </w:r>
    </w:p>
    <w:p w:rsidR="00000000" w:rsidRDefault="003E5AFF">
      <w:pPr>
        <w:pStyle w:val="NormalWeb"/>
        <w:spacing w:before="120" w:beforeAutospacing="0" w:after="0" w:afterAutospacing="0"/>
      </w:pPr>
      <w:r>
        <w:rPr>
          <w:rFonts w:ascii="Arial" w:hAnsi="Arial" w:cs="Arial"/>
        </w:rPr>
        <w:t xml:space="preserve">In order to finance our acquisition of Prezunic, on January 2, 2012 </w:t>
      </w:r>
      <w:r>
        <w:rPr>
          <w:rFonts w:ascii="Arial" w:hAnsi="Arial" w:cs="Arial"/>
        </w:rPr>
        <w:t xml:space="preserve">we entered into a Ch$127.73 billion short-term facility with Banco Santander Chile, as lender. See __Liquidity and Capital Resources_Indebtedness_Recent Acquisitions._ </w:t>
      </w:r>
    </w:p>
    <w:p w:rsidR="00000000" w:rsidRDefault="003E5AFF">
      <w:pPr>
        <w:pStyle w:val="NormalWeb"/>
        <w:spacing w:before="240" w:beforeAutospacing="0" w:after="0" w:afterAutospacing="0"/>
      </w:pPr>
      <w:r>
        <w:rPr>
          <w:rFonts w:ascii="Arial" w:hAnsi="Arial" w:cs="Arial"/>
          <w:i/>
          <w:iCs/>
        </w:rPr>
        <w:t xml:space="preserve">Impact of organic expansion </w:t>
      </w:r>
    </w:p>
    <w:p w:rsidR="00000000" w:rsidRDefault="003E5AFF">
      <w:pPr>
        <w:pStyle w:val="NormalWeb"/>
        <w:spacing w:before="120" w:beforeAutospacing="0" w:after="0" w:afterAutospacing="0"/>
      </w:pPr>
      <w:r>
        <w:rPr>
          <w:rFonts w:ascii="Arial" w:hAnsi="Arial" w:cs="Arial"/>
        </w:rPr>
        <w:t>During the three month period ended March </w:t>
      </w:r>
      <w:r>
        <w:rPr>
          <w:rFonts w:ascii="Arial" w:hAnsi="Arial" w:cs="Arial"/>
        </w:rPr>
        <w:t xml:space="preserve">31, 2012, we opened four supermarkets in Argentina, two in Chile and six in Brazil. During the same period, we closed one Disco supermarket in Argentina which was reformatted as a Jumbo store in the same period and therefore included as a store opening. </w:t>
      </w:r>
    </w:p>
    <w:p w:rsidR="00000000" w:rsidRDefault="003E5AFF">
      <w:pPr>
        <w:pStyle w:val="NormalWeb"/>
        <w:spacing w:before="120" w:beforeAutospacing="0" w:after="0" w:afterAutospacing="0"/>
      </w:pPr>
      <w:r>
        <w:rPr>
          <w:rFonts w:ascii="Arial" w:hAnsi="Arial" w:cs="Arial"/>
        </w:rPr>
        <w:t>D</w:t>
      </w:r>
      <w:r>
        <w:rPr>
          <w:rFonts w:ascii="Arial" w:hAnsi="Arial" w:cs="Arial"/>
        </w:rPr>
        <w:t>uring the year ended December 31, 2011, we opened 14 supermarkets in Argentina, 30 in Chile, 10 in Peru and 22 in Brazil. We opened one Easy home improvement store in Chile. Further, during the year ended December 31, 2011, we opened one new Paris departme</w:t>
      </w:r>
      <w:r>
        <w:rPr>
          <w:rFonts w:ascii="Arial" w:hAnsi="Arial" w:cs="Arial"/>
        </w:rPr>
        <w:t xml:space="preserve">nt store in Chile. During the same period, we closed four supermarket stores, three Santa Isabel stores in Chile and one Disco store in Argentina. We also closed one Blaisten home improvement store in Argentina. </w:t>
      </w:r>
    </w:p>
    <w:p w:rsidR="00000000" w:rsidRDefault="003E5AFF">
      <w:pPr>
        <w:pStyle w:val="NormalWeb"/>
        <w:spacing w:before="120" w:beforeAutospacing="0" w:after="0" w:afterAutospacing="0"/>
      </w:pPr>
      <w:r>
        <w:rPr>
          <w:rFonts w:ascii="Arial" w:hAnsi="Arial" w:cs="Arial"/>
        </w:rPr>
        <w:t>During the year ended December 31, 2010, we</w:t>
      </w:r>
      <w:r>
        <w:rPr>
          <w:rFonts w:ascii="Arial" w:hAnsi="Arial" w:cs="Arial"/>
        </w:rPr>
        <w:t xml:space="preserve"> opened one Jumbo hypermarket in Argentina, four Santa Isabel supermarkets in Chile, four Wong and Metro stores in Peru, four Disco stores in Argentina, two Easy home improvement stores in Chile, two Easy and two Blaisten home improvement stores in Argenti</w:t>
      </w:r>
      <w:r>
        <w:rPr>
          <w:rFonts w:ascii="Arial" w:hAnsi="Arial" w:cs="Arial"/>
        </w:rPr>
        <w:t xml:space="preserve">na and two Easy home improvement stores in Colombia. Further,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- 114 - </w:t>
      </w:r>
    </w:p>
    <w:p w:rsidR="00000000" w:rsidRDefault="003E5AFF">
      <w:pPr>
        <w:rPr>
          <w:rFonts w:eastAsia="Times New Roman" w:cs="Times New Roman"/>
        </w:rPr>
      </w:pPr>
      <w:r>
        <w:rPr>
          <w:rFonts w:eastAsia="Times New Roman" w:cs="Times New Roman"/>
        </w:rPr>
        <w:pict>
          <v:rect id="_x0000_i1148" style="width:441.9pt;height:3pt" o:hralign="center" o:hrstd="t" o:hrnoshade="t" o:hr="t" fillcolor="#999" stroked="f"/>
        </w:pict>
      </w:r>
    </w:p>
    <w:p w:rsidR="00000000" w:rsidRDefault="003E5AFF">
      <w:pPr>
        <w:pStyle w:val="Heading5"/>
        <w:rPr>
          <w:rFonts w:eastAsia="Times New Roman" w:cs="Times New Roman"/>
        </w:rPr>
      </w:pPr>
      <w:hyperlink r:id="rId16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during the year ended December 31, 2010, we opened four new Paris department stores in Chile. The a</w:t>
      </w:r>
      <w:r>
        <w:rPr>
          <w:rFonts w:ascii="Arial" w:hAnsi="Arial" w:cs="Arial"/>
        </w:rPr>
        <w:t>ddition of this new department store increased our sales space by 7.7% to 234,489, from 217,698 square meters as of December 31, 2010. During the same period, we closed six Santa Isabel stores in Chile, one Disco store in Argentina and one Blaisten store i</w:t>
      </w:r>
      <w:r>
        <w:rPr>
          <w:rFonts w:ascii="Arial" w:hAnsi="Arial" w:cs="Arial"/>
        </w:rPr>
        <w:t xml:space="preserve">n Argentina. </w:t>
      </w:r>
    </w:p>
    <w:p w:rsidR="00000000" w:rsidRDefault="003E5AFF">
      <w:pPr>
        <w:pStyle w:val="NormalWeb"/>
        <w:spacing w:before="120" w:beforeAutospacing="0" w:after="0" w:afterAutospacing="0"/>
      </w:pPr>
      <w:r>
        <w:rPr>
          <w:rFonts w:ascii="Arial" w:hAnsi="Arial" w:cs="Arial"/>
        </w:rPr>
        <w:t>During the year ended December 31, 2009, we opened one Jumbo hypermarket in Chile, three Santa Isabel supermarkets in Chile, four Wong stores in Peru, two GBarbosa stores in Brazil and one Easy home improvement store in Colombia. During the s</w:t>
      </w:r>
      <w:r>
        <w:rPr>
          <w:rFonts w:ascii="Arial" w:hAnsi="Arial" w:cs="Arial"/>
        </w:rPr>
        <w:t>ame period, we closed five Santa Isabel stores in Chile, six Disco stores in Argentina and four Wong and Metro stores in Peru. We also opened one new shopping center during 2009. The addition of this shopping center increased our gross leasable shopping ce</w:t>
      </w:r>
      <w:r>
        <w:rPr>
          <w:rFonts w:ascii="Arial" w:hAnsi="Arial" w:cs="Arial"/>
        </w:rPr>
        <w:t xml:space="preserve">nter space to third parties (excluding the space we lease to Jumbo, Disco and Easy) to 516,410 square meters at December 31, 2009 from 508,326 square meters at December 31, 2008. </w:t>
      </w:r>
    </w:p>
    <w:p w:rsidR="00000000" w:rsidRDefault="003E5AFF">
      <w:pPr>
        <w:pStyle w:val="NormalWeb"/>
        <w:spacing w:before="120" w:beforeAutospacing="0" w:after="0" w:afterAutospacing="0"/>
      </w:pPr>
      <w:r>
        <w:rPr>
          <w:rFonts w:ascii="Arial" w:hAnsi="Arial" w:cs="Arial"/>
        </w:rPr>
        <w:t>As a general matter, we believe that a period of several years is frequently</w:t>
      </w:r>
      <w:r>
        <w:rPr>
          <w:rFonts w:ascii="Arial" w:hAnsi="Arial" w:cs="Arial"/>
        </w:rPr>
        <w:t xml:space="preserve"> required after opening or inauguration for a store or shopping center to mature and achieve its full potential to generate sales. As a result, the increasing maturation of a newly opened store may need to be taken into account when comparing period-to-per</w:t>
      </w:r>
      <w:r>
        <w:rPr>
          <w:rFonts w:ascii="Arial" w:hAnsi="Arial" w:cs="Arial"/>
        </w:rPr>
        <w:t xml:space="preserve">iod store sales.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- 115 - </w:t>
      </w:r>
    </w:p>
    <w:p w:rsidR="00000000" w:rsidRDefault="003E5AFF">
      <w:pPr>
        <w:rPr>
          <w:rFonts w:eastAsia="Times New Roman" w:cs="Times New Roman"/>
        </w:rPr>
      </w:pPr>
      <w:r>
        <w:rPr>
          <w:rFonts w:eastAsia="Times New Roman" w:cs="Times New Roman"/>
        </w:rPr>
        <w:pict>
          <v:rect id="_x0000_i1149" style="width:441.9pt;height:3pt" o:hralign="center" o:hrstd="t" o:hrnoshade="t" o:hr="t" fillcolor="#999" stroked="f"/>
        </w:pict>
      </w:r>
    </w:p>
    <w:p w:rsidR="00000000" w:rsidRDefault="003E5AFF">
      <w:pPr>
        <w:pStyle w:val="Heading5"/>
        <w:rPr>
          <w:rFonts w:eastAsia="Times New Roman" w:cs="Times New Roman"/>
        </w:rPr>
      </w:pPr>
      <w:hyperlink r:id="rId16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following tables present a breakdown of our store and shopp</w:t>
      </w:r>
      <w:r>
        <w:rPr>
          <w:rFonts w:ascii="Arial" w:hAnsi="Arial" w:cs="Arial"/>
        </w:rPr>
        <w:t xml:space="preserve">ing center expansion activities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551"/>
        <w:gridCol w:w="253"/>
        <w:gridCol w:w="141"/>
        <w:gridCol w:w="838"/>
        <w:gridCol w:w="112"/>
        <w:gridCol w:w="253"/>
        <w:gridCol w:w="185"/>
        <w:gridCol w:w="738"/>
        <w:gridCol w:w="112"/>
        <w:gridCol w:w="254"/>
        <w:gridCol w:w="170"/>
        <w:gridCol w:w="675"/>
        <w:gridCol w:w="112"/>
        <w:gridCol w:w="254"/>
        <w:gridCol w:w="400"/>
        <w:gridCol w:w="801"/>
        <w:gridCol w:w="112"/>
        <w:gridCol w:w="254"/>
        <w:gridCol w:w="141"/>
        <w:gridCol w:w="838"/>
        <w:gridCol w:w="112"/>
      </w:tblGrid>
      <w:tr w:rsidR="00000000">
        <w:trPr>
          <w:jc w:val="center"/>
        </w:trPr>
        <w:tc>
          <w:tcPr>
            <w:tcW w:w="245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Total 2008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Openings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Closings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Acquisitions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Total </w:t>
            </w: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Home Improvement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539"/>
        <w:gridCol w:w="256"/>
        <w:gridCol w:w="141"/>
        <w:gridCol w:w="838"/>
        <w:gridCol w:w="112"/>
        <w:gridCol w:w="256"/>
        <w:gridCol w:w="185"/>
        <w:gridCol w:w="738"/>
        <w:gridCol w:w="112"/>
        <w:gridCol w:w="256"/>
        <w:gridCol w:w="170"/>
        <w:gridCol w:w="675"/>
        <w:gridCol w:w="112"/>
        <w:gridCol w:w="256"/>
        <w:gridCol w:w="241"/>
        <w:gridCol w:w="960"/>
        <w:gridCol w:w="112"/>
        <w:gridCol w:w="256"/>
        <w:gridCol w:w="141"/>
        <w:gridCol w:w="838"/>
        <w:gridCol w:w="112"/>
      </w:tblGrid>
      <w:tr w:rsidR="00000000">
        <w:trPr>
          <w:jc w:val="center"/>
        </w:trPr>
        <w:tc>
          <w:tcPr>
            <w:tcW w:w="240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Total 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Openings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Closings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Acquisitions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Total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Home Improvement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- 116 - </w:t>
      </w:r>
    </w:p>
    <w:p w:rsidR="00000000" w:rsidRDefault="003E5AFF">
      <w:pPr>
        <w:rPr>
          <w:rFonts w:eastAsia="Times New Roman" w:cs="Times New Roman"/>
        </w:rPr>
      </w:pPr>
      <w:r>
        <w:rPr>
          <w:rFonts w:eastAsia="Times New Roman" w:cs="Times New Roman"/>
        </w:rPr>
        <w:pict>
          <v:rect id="_x0000_i1150" style="width:441.9pt;height:3pt" o:hralign="center" o:hrstd="t" o:hrnoshade="t" o:hr="t" fillcolor="#999" stroked="f"/>
        </w:pict>
      </w:r>
    </w:p>
    <w:p w:rsidR="00000000" w:rsidRDefault="003E5AFF">
      <w:pPr>
        <w:pStyle w:val="Heading5"/>
        <w:rPr>
          <w:rFonts w:eastAsia="Times New Roman" w:cs="Times New Roman"/>
        </w:rPr>
      </w:pPr>
      <w:hyperlink r:id="rId167"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1551"/>
        <w:gridCol w:w="253"/>
        <w:gridCol w:w="141"/>
        <w:gridCol w:w="838"/>
        <w:gridCol w:w="112"/>
        <w:gridCol w:w="253"/>
        <w:gridCol w:w="185"/>
        <w:gridCol w:w="738"/>
        <w:gridCol w:w="112"/>
        <w:gridCol w:w="254"/>
        <w:gridCol w:w="282"/>
        <w:gridCol w:w="563"/>
        <w:gridCol w:w="112"/>
        <w:gridCol w:w="254"/>
        <w:gridCol w:w="241"/>
        <w:gridCol w:w="960"/>
        <w:gridCol w:w="112"/>
        <w:gridCol w:w="254"/>
        <w:gridCol w:w="141"/>
        <w:gridCol w:w="838"/>
        <w:gridCol w:w="112"/>
      </w:tblGrid>
      <w:tr w:rsidR="00000000">
        <w:trPr>
          <w:jc w:val="center"/>
        </w:trPr>
        <w:tc>
          <w:tcPr>
            <w:tcW w:w="245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Total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Openings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Closings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Acquisitions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Total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Home Improvement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246"/>
        <w:gridCol w:w="225"/>
        <w:gridCol w:w="141"/>
        <w:gridCol w:w="838"/>
        <w:gridCol w:w="112"/>
        <w:gridCol w:w="225"/>
        <w:gridCol w:w="186"/>
        <w:gridCol w:w="737"/>
        <w:gridCol w:w="112"/>
        <w:gridCol w:w="226"/>
        <w:gridCol w:w="282"/>
        <w:gridCol w:w="563"/>
        <w:gridCol w:w="112"/>
        <w:gridCol w:w="226"/>
        <w:gridCol w:w="242"/>
        <w:gridCol w:w="959"/>
        <w:gridCol w:w="112"/>
        <w:gridCol w:w="226"/>
        <w:gridCol w:w="205"/>
        <w:gridCol w:w="1219"/>
        <w:gridCol w:w="112"/>
      </w:tblGrid>
      <w:tr w:rsidR="00000000">
        <w:trPr>
          <w:jc w:val="center"/>
        </w:trPr>
        <w:tc>
          <w:tcPr>
            <w:tcW w:w="2200" w:type="pct"/>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 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Total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Openings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Closings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Acquisitions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Total</w:t>
            </w:r>
            <w:r>
              <w:rPr>
                <w:rFonts w:ascii="Arial" w:eastAsia="Times New Roman" w:hAnsi="Arial" w:cs="Arial"/>
                <w:b/>
                <w:bCs/>
              </w:rPr>
              <w:br/>
              <w:t>March 31,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 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b/>
                <w:b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Home Improvement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72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- 117 - </w:t>
      </w:r>
    </w:p>
    <w:p w:rsidR="00000000" w:rsidRDefault="003E5AFF">
      <w:pPr>
        <w:rPr>
          <w:rFonts w:eastAsia="Times New Roman" w:cs="Times New Roman"/>
        </w:rPr>
      </w:pPr>
      <w:r>
        <w:rPr>
          <w:rFonts w:eastAsia="Times New Roman" w:cs="Times New Roman"/>
        </w:rPr>
        <w:pict>
          <v:rect id="_x0000_i1151" style="width:441.9pt;height:3pt" o:hralign="center" o:hrstd="t" o:hrnoshade="t" o:hr="t" fillcolor="#999" stroked="f"/>
        </w:pict>
      </w:r>
    </w:p>
    <w:p w:rsidR="00000000" w:rsidRDefault="003E5AFF">
      <w:pPr>
        <w:pStyle w:val="Heading5"/>
        <w:rPr>
          <w:rFonts w:eastAsia="Times New Roman" w:cs="Times New Roman"/>
        </w:rPr>
      </w:pPr>
      <w:hyperlink r:id="rId16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Impact of exchange rate fluctuations </w:t>
      </w:r>
    </w:p>
    <w:p w:rsidR="00000000" w:rsidRDefault="003E5AFF">
      <w:pPr>
        <w:pStyle w:val="NormalWeb"/>
        <w:spacing w:before="120" w:beforeAutospacing="0" w:after="0" w:afterAutospacing="0"/>
      </w:pPr>
      <w:r>
        <w:rPr>
          <w:rFonts w:ascii="Arial" w:hAnsi="Arial" w:cs="Arial"/>
        </w:rPr>
        <w:t>The Chilean peso has been sub</w:t>
      </w:r>
      <w:r>
        <w:rPr>
          <w:rFonts w:ascii="Arial" w:hAnsi="Arial" w:cs="Arial"/>
        </w:rPr>
        <w:t>ject to large volatility in the past and could be subject to significant fluctuations in the future. During 2010 and 2011, the value of the Chilean peso relative to the U.S. dollar appreciated approximately 3.14% and depreciated 5.71% in nominal terms, res</w:t>
      </w:r>
      <w:r>
        <w:rPr>
          <w:rFonts w:ascii="Arial" w:hAnsi="Arial" w:cs="Arial"/>
        </w:rPr>
        <w:t>pectively; relative to the Argentine Peso, it appreciated approximately 0.21% and depreciated 13.43% in nominal terms, respectively; relative to the Brazilian Real, it depreciated approximately 0.21% and 6.84% in nominal terms, respectively; relative to th</w:t>
      </w:r>
      <w:r>
        <w:rPr>
          <w:rFonts w:ascii="Arial" w:hAnsi="Arial" w:cs="Arial"/>
        </w:rPr>
        <w:t>e Peruvian Sol, it appreciated approximately 1.35% and 5.67% and relative to the Colombian peso, it appreciated approximately 4.05% and 1.24% in nominal terms, respectively. The observed exchange rate on March 30, 2012 (the latest available date, as March </w:t>
      </w:r>
      <w:r>
        <w:rPr>
          <w:rFonts w:ascii="Arial" w:hAnsi="Arial" w:cs="Arial"/>
        </w:rPr>
        <w:t xml:space="preserve">31, 2012 fell on a non-business day) was Ch$ 487.44 per U.S.$1.00. See _Exchange Rates._ </w:t>
      </w:r>
    </w:p>
    <w:p w:rsidR="00000000" w:rsidRDefault="003E5AFF">
      <w:pPr>
        <w:pStyle w:val="NormalWeb"/>
        <w:spacing w:before="120" w:beforeAutospacing="0" w:after="0" w:afterAutospacing="0"/>
      </w:pPr>
      <w:r>
        <w:rPr>
          <w:rFonts w:ascii="Arial" w:hAnsi="Arial" w:cs="Arial"/>
        </w:rPr>
        <w:t xml:space="preserve">Our sales in each of our countries of operations are priced in local currencies. To the extent that the Chilean peso depreciates against the U.S. dollar or the </w:t>
      </w:r>
      <w:r>
        <w:rPr>
          <w:rFonts w:ascii="Arial" w:hAnsi="Arial" w:cs="Arial"/>
        </w:rPr>
        <w:t>currencies of any of our countries of operation, our revenues may be adversely affected when expressed in Chilean pesos. The effect of exchange rate fluctuations is partially offset by the fact that certain of our operating expenses are denominated in Chil</w:t>
      </w:r>
      <w:r>
        <w:rPr>
          <w:rFonts w:ascii="Arial" w:hAnsi="Arial" w:cs="Arial"/>
        </w:rPr>
        <w:t>ean pesos (such as our corporate overhead) and a significant part of our indebtedness is denominated in Chilean pesos. As of March 31, 2012, 9% of our interest-bearing debt was denominated in U.S. dollars, after taking into account cross-currency swaps, an</w:t>
      </w:r>
      <w:r>
        <w:rPr>
          <w:rFonts w:ascii="Arial" w:hAnsi="Arial" w:cs="Arial"/>
        </w:rPr>
        <w:t xml:space="preserve">d the remainder of our interest-bearing debt was primarily UF- or Chilean peso-denominated. </w:t>
      </w:r>
    </w:p>
    <w:p w:rsidR="00000000" w:rsidRDefault="003E5AFF">
      <w:pPr>
        <w:pStyle w:val="NormalWeb"/>
        <w:spacing w:before="240" w:beforeAutospacing="0" w:after="0" w:afterAutospacing="0"/>
      </w:pPr>
      <w:r>
        <w:rPr>
          <w:rFonts w:ascii="Arial" w:hAnsi="Arial" w:cs="Arial"/>
          <w:b/>
          <w:bCs/>
          <w:i/>
          <w:iCs/>
        </w:rPr>
        <w:t xml:space="preserve">Impact of the 2010 earthquake and tsunami </w:t>
      </w:r>
    </w:p>
    <w:p w:rsidR="00000000" w:rsidRDefault="003E5AFF">
      <w:pPr>
        <w:pStyle w:val="NormalWeb"/>
        <w:spacing w:before="120" w:beforeAutospacing="0" w:after="0" w:afterAutospacing="0"/>
      </w:pPr>
      <w:r>
        <w:rPr>
          <w:rFonts w:ascii="Arial" w:hAnsi="Arial" w:cs="Arial"/>
        </w:rPr>
        <w:t>On February 27, 2010, an 8.8 magnitude earthquake struck the central and central south regions of Chile. The quake epice</w:t>
      </w:r>
      <w:r>
        <w:rPr>
          <w:rFonts w:ascii="Arial" w:hAnsi="Arial" w:cs="Arial"/>
        </w:rPr>
        <w:t>nter was located 200 miles southwest of Santiago and 70 miles north of Concepci_n, Chile_s second-largest city. The regions of B_o B_o and Maule were the most severely affected regions especially in the coastal area, which, shortly after the earthquake, wa</w:t>
      </w:r>
      <w:r>
        <w:rPr>
          <w:rFonts w:ascii="Arial" w:hAnsi="Arial" w:cs="Arial"/>
        </w:rPr>
        <w:t xml:space="preserve">s hit by a tsunami that significantly damaged cities and port facilities. The regions of Valpara_so and the Santiago Metropolitan area were also severely affected. At least 1,500,000 homes were damaged and more than 500 people were killed. According to an </w:t>
      </w:r>
      <w:r>
        <w:rPr>
          <w:rFonts w:ascii="Arial" w:hAnsi="Arial" w:cs="Arial"/>
        </w:rPr>
        <w:t>initial assessment by the government of Chile, the repair of the resulting damage, excluding damage to port facilities, is likely to take between three and four years and the preliminary assessments of reconstruction costs indicate that they could total ap</w:t>
      </w:r>
      <w:r>
        <w:rPr>
          <w:rFonts w:ascii="Arial" w:hAnsi="Arial" w:cs="Arial"/>
        </w:rPr>
        <w:t xml:space="preserve">proximately U.S.$30 billion. </w:t>
      </w:r>
    </w:p>
    <w:p w:rsidR="00000000" w:rsidRDefault="003E5AFF">
      <w:pPr>
        <w:pStyle w:val="NormalWeb"/>
        <w:spacing w:before="120" w:beforeAutospacing="0" w:after="0" w:afterAutospacing="0"/>
      </w:pPr>
      <w:r>
        <w:rPr>
          <w:rFonts w:ascii="Arial" w:hAnsi="Arial" w:cs="Arial"/>
        </w:rPr>
        <w:t>The February 2010 earthquake and tsunami_s primary impact on us was Ch$32,919 million relating primarily to damage to infrastructure, inventory destruction and business interruptions. Our insurance policies cover losses arisin</w:t>
      </w:r>
      <w:r>
        <w:rPr>
          <w:rFonts w:ascii="Arial" w:hAnsi="Arial" w:cs="Arial"/>
        </w:rPr>
        <w:t xml:space="preserve">g from the earthquake and tsunami, amounting to Ch$21,893 million. The primary financial impact of the earthquake and tsunami on our results of operations was Ch$4,865 million. The difference between the impact and the claim is related to the depreciation </w:t>
      </w:r>
      <w:r>
        <w:rPr>
          <w:rFonts w:ascii="Arial" w:hAnsi="Arial" w:cs="Arial"/>
        </w:rPr>
        <w:t xml:space="preserve">of certain assets at the time of the earthquake, resulting in a claim that is higher than the book value of such assets. </w:t>
      </w:r>
    </w:p>
    <w:p w:rsidR="00000000" w:rsidRDefault="003E5AFF">
      <w:pPr>
        <w:pStyle w:val="NormalWeb"/>
        <w:spacing w:before="120" w:beforeAutospacing="0" w:after="0" w:afterAutospacing="0"/>
      </w:pPr>
      <w:r>
        <w:rPr>
          <w:rFonts w:ascii="Arial" w:hAnsi="Arial" w:cs="Arial"/>
        </w:rPr>
        <w:t>Conversely, following the February 2010 earthquake, during the second and third quarter of 2010 we experienced a 29.4% increase in rev</w:t>
      </w:r>
      <w:r>
        <w:rPr>
          <w:rFonts w:ascii="Arial" w:hAnsi="Arial" w:cs="Arial"/>
        </w:rPr>
        <w:t xml:space="preserve">enues in our home improvement stores segment, as compared to second and third quarter of 2009. </w:t>
      </w:r>
    </w:p>
    <w:p w:rsidR="00000000" w:rsidRDefault="003E5AFF">
      <w:pPr>
        <w:pStyle w:val="NormalWeb"/>
        <w:spacing w:before="120" w:beforeAutospacing="0" w:after="0" w:afterAutospacing="0"/>
      </w:pPr>
      <w:r>
        <w:rPr>
          <w:rFonts w:ascii="Arial" w:hAnsi="Arial" w:cs="Arial"/>
        </w:rPr>
        <w:t>As a result of the February 2010 earthquake and tsunami, legislation has been passed raising the corporate income tax rate in order to pay for reconstruction fo</w:t>
      </w:r>
      <w:r>
        <w:rPr>
          <w:rFonts w:ascii="Arial" w:hAnsi="Arial" w:cs="Arial"/>
        </w:rPr>
        <w:t xml:space="preserve">llowing the earthquake and tsunami, which may have an adverse effect on our results. The new legislation increased the corporate tax rate from its standard rate of 17.0% to 20.0% for the income accrued in 2011. For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- 118 - </w:t>
      </w:r>
    </w:p>
    <w:p w:rsidR="00000000" w:rsidRDefault="003E5AFF">
      <w:pPr>
        <w:rPr>
          <w:rFonts w:eastAsia="Times New Roman" w:cs="Times New Roman"/>
        </w:rPr>
      </w:pPr>
      <w:r>
        <w:rPr>
          <w:rFonts w:eastAsia="Times New Roman" w:cs="Times New Roman"/>
        </w:rPr>
        <w:pict>
          <v:rect id="_x0000_i1152" style="width:441.9pt;height:3pt" o:hralign="center" o:hrstd="t" o:hrnoshade="t" o:hr="t" fillcolor="#999" stroked="f"/>
        </w:pict>
      </w:r>
    </w:p>
    <w:p w:rsidR="00000000" w:rsidRDefault="003E5AFF">
      <w:pPr>
        <w:pStyle w:val="Heading5"/>
        <w:rPr>
          <w:rFonts w:eastAsia="Times New Roman" w:cs="Times New Roman"/>
        </w:rPr>
      </w:pPr>
      <w:hyperlink r:id="rId16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income accrued in 2012, the applicable rate is 1</w:t>
      </w:r>
      <w:r>
        <w:rPr>
          <w:rFonts w:ascii="Arial" w:hAnsi="Arial" w:cs="Arial"/>
        </w:rPr>
        <w:t xml:space="preserve">8.5%. Although the corporate income tax increase was approved as a transitory amendment and the law contemplates returning to the 17.0% rate in 2013, on May 2, 2012 the Government proposed to retain the corporate tax rate at 20%. </w:t>
      </w:r>
    </w:p>
    <w:p w:rsidR="00000000" w:rsidRDefault="003E5AFF">
      <w:pPr>
        <w:pStyle w:val="NormalWeb"/>
        <w:spacing w:before="240" w:beforeAutospacing="0" w:after="0" w:afterAutospacing="0"/>
      </w:pPr>
      <w:r>
        <w:rPr>
          <w:rFonts w:ascii="Arial" w:hAnsi="Arial" w:cs="Arial"/>
          <w:b/>
          <w:bCs/>
          <w:i/>
          <w:iCs/>
        </w:rPr>
        <w:t xml:space="preserve">Seasonality </w:t>
      </w:r>
    </w:p>
    <w:p w:rsidR="00000000" w:rsidRDefault="003E5AFF">
      <w:pPr>
        <w:pStyle w:val="NormalWeb"/>
        <w:spacing w:before="120" w:beforeAutospacing="0" w:after="0" w:afterAutospacing="0"/>
      </w:pPr>
      <w:r>
        <w:rPr>
          <w:rFonts w:ascii="Arial" w:hAnsi="Arial" w:cs="Arial"/>
        </w:rPr>
        <w:t>Historically</w:t>
      </w:r>
      <w:r>
        <w:rPr>
          <w:rFonts w:ascii="Arial" w:hAnsi="Arial" w:cs="Arial"/>
        </w:rPr>
        <w:t>, we have experienced distinct seasonal sales patterns at our supermarkets due to heightened consumer activity throughout the Christmas and New Year holiday season, as well as during the beginning of each school year in March. During these periods, we prom</w:t>
      </w:r>
      <w:r>
        <w:rPr>
          <w:rFonts w:ascii="Arial" w:hAnsi="Arial" w:cs="Arial"/>
        </w:rPr>
        <w:t>ote the sale of non-food items particularly by discounting imported goods, such as toys throughout the Christmas holiday season, and school supplies during the back-to-school period. Conversely, we usually experience a decrease in sales during the summer v</w:t>
      </w:r>
      <w:r>
        <w:rPr>
          <w:rFonts w:ascii="Arial" w:hAnsi="Arial" w:cs="Arial"/>
        </w:rPr>
        <w:t xml:space="preserve">acation months of January and February. Our sales for the first and fourth quarters of 2011 represented 22.8% and 28.6% respectively, of our total same-store sales for such year. </w:t>
      </w:r>
    </w:p>
    <w:p w:rsidR="00000000" w:rsidRDefault="003E5AFF">
      <w:pPr>
        <w:pStyle w:val="NormalWeb"/>
        <w:spacing w:before="120" w:beforeAutospacing="0" w:after="0" w:afterAutospacing="0"/>
      </w:pPr>
      <w:r>
        <w:rPr>
          <w:rFonts w:ascii="Arial" w:hAnsi="Arial" w:cs="Arial"/>
        </w:rPr>
        <w:t xml:space="preserve">We do not experience significant seasonality in the home improvement sector. Home improvement store sales for the first six months of 2011 represented 46.7% of our total home improvement sales. </w:t>
      </w:r>
    </w:p>
    <w:p w:rsidR="00000000" w:rsidRDefault="003E5AFF">
      <w:pPr>
        <w:pStyle w:val="NormalWeb"/>
        <w:spacing w:before="120" w:beforeAutospacing="0" w:after="0" w:afterAutospacing="0"/>
      </w:pPr>
      <w:r>
        <w:rPr>
          <w:rFonts w:ascii="Arial" w:hAnsi="Arial" w:cs="Arial"/>
        </w:rPr>
        <w:t>Our department stores have also experienced historically dist</w:t>
      </w:r>
      <w:r>
        <w:rPr>
          <w:rFonts w:ascii="Arial" w:hAnsi="Arial" w:cs="Arial"/>
        </w:rPr>
        <w:t>inct seasonal sales patterns due to heightened consumer activity throughout the Christmas and New Year holiday season. As a result, the strongest quarter in terms of sales is the fourth quarter, which represented 32.7% of total sales for the year 2011, whi</w:t>
      </w:r>
      <w:r>
        <w:rPr>
          <w:rFonts w:ascii="Arial" w:hAnsi="Arial" w:cs="Arial"/>
        </w:rPr>
        <w:t xml:space="preserve">le the first, second and third quarters, each represented 20.8% 24.0% and 22.6% of total annual sales, respectively. </w:t>
      </w:r>
    </w:p>
    <w:p w:rsidR="00000000" w:rsidRDefault="003E5AFF">
      <w:pPr>
        <w:pStyle w:val="NormalWeb"/>
        <w:spacing w:before="120" w:beforeAutospacing="0" w:after="0" w:afterAutospacing="0"/>
      </w:pPr>
      <w:r>
        <w:rPr>
          <w:rFonts w:ascii="Arial" w:hAnsi="Arial" w:cs="Arial"/>
        </w:rPr>
        <w:t>Our shopping center revenues generally increase during the Christmas and New Year holiday season, reflecting the seasonal sales peak for o</w:t>
      </w:r>
      <w:r>
        <w:rPr>
          <w:rFonts w:ascii="Arial" w:hAnsi="Arial" w:cs="Arial"/>
        </w:rPr>
        <w:t>ur shopping centers. For example, during the fourth quarter of 2011 our Chile shopping center revenues represented 28.1% of total Chile shopping center revenues for the year. We generally charge our shopping center tenants double rent for the month of Dece</w:t>
      </w:r>
      <w:r>
        <w:rPr>
          <w:rFonts w:ascii="Arial" w:hAnsi="Arial" w:cs="Arial"/>
        </w:rPr>
        <w:t xml:space="preserve">mber which is payable in February of the following year when they will have realized collections in respect of most holiday season sales. </w:t>
      </w:r>
    </w:p>
    <w:p w:rsidR="00000000" w:rsidRDefault="003E5AFF">
      <w:pPr>
        <w:pStyle w:val="NormalWeb"/>
        <w:spacing w:before="240" w:beforeAutospacing="0" w:after="0" w:afterAutospacing="0"/>
      </w:pPr>
      <w:r>
        <w:rPr>
          <w:rFonts w:ascii="Arial" w:hAnsi="Arial" w:cs="Arial"/>
          <w:b/>
          <w:bCs/>
          <w:sz w:val="24"/>
          <w:szCs w:val="24"/>
        </w:rPr>
        <w:t xml:space="preserve">Supermarket cost of sales </w:t>
      </w:r>
    </w:p>
    <w:p w:rsidR="00000000" w:rsidRDefault="003E5AFF">
      <w:pPr>
        <w:pStyle w:val="NormalWeb"/>
        <w:spacing w:before="120" w:beforeAutospacing="0" w:after="0" w:afterAutospacing="0"/>
      </w:pPr>
      <w:r>
        <w:rPr>
          <w:rFonts w:ascii="Arial" w:hAnsi="Arial" w:cs="Arial"/>
        </w:rPr>
        <w:t>Cost of sales reflects the costs of goods sold. Gross margin, defined as revenues from ord</w:t>
      </w:r>
      <w:r>
        <w:rPr>
          <w:rFonts w:ascii="Arial" w:hAnsi="Arial" w:cs="Arial"/>
        </w:rPr>
        <w:t xml:space="preserve">inary activities less cost of sales, is lower in our supermarkets segment due to higher turnover of our supermarket inventory, which includes primarily basic and staple goods. In our other segments, namely department stores and home improvement stores, we </w:t>
      </w:r>
      <w:r>
        <w:rPr>
          <w:rFonts w:ascii="Arial" w:hAnsi="Arial" w:cs="Arial"/>
        </w:rPr>
        <w:t xml:space="preserve">do not experience high inventory turnover and therefore have higher gross margins. </w:t>
      </w:r>
    </w:p>
    <w:p w:rsidR="00000000" w:rsidRDefault="003E5AFF">
      <w:pPr>
        <w:pStyle w:val="NormalWeb"/>
        <w:spacing w:before="240" w:beforeAutospacing="0" w:after="0" w:afterAutospacing="0"/>
      </w:pPr>
      <w:r>
        <w:rPr>
          <w:rFonts w:ascii="Arial" w:hAnsi="Arial" w:cs="Arial"/>
          <w:b/>
          <w:bCs/>
          <w:sz w:val="24"/>
          <w:szCs w:val="24"/>
        </w:rPr>
        <w:t xml:space="preserve">Loan provisioning </w:t>
      </w:r>
    </w:p>
    <w:p w:rsidR="00000000" w:rsidRDefault="003E5AFF">
      <w:pPr>
        <w:pStyle w:val="NormalWeb"/>
        <w:spacing w:before="120" w:beforeAutospacing="0" w:after="0" w:afterAutospacing="0"/>
      </w:pPr>
      <w:r>
        <w:rPr>
          <w:rFonts w:ascii="Arial" w:hAnsi="Arial" w:cs="Arial"/>
        </w:rPr>
        <w:t xml:space="preserve">We seek to use appropriate practices to identify risk in our accounts and determine potential future losses. Our provisions have two components: a _base </w:t>
      </w:r>
      <w:r>
        <w:rPr>
          <w:rFonts w:ascii="Arial" w:hAnsi="Arial" w:cs="Arial"/>
        </w:rPr>
        <w:t xml:space="preserve">provision_ and an _additional provision_ as described below: </w:t>
      </w:r>
    </w:p>
    <w:p w:rsidR="00000000" w:rsidRDefault="003E5AFF">
      <w:pPr>
        <w:pStyle w:val="NormalWeb"/>
        <w:spacing w:before="120" w:beforeAutospacing="0" w:after="0" w:afterAutospacing="0"/>
        <w:ind w:left="952"/>
      </w:pPr>
      <w:r>
        <w:rPr>
          <w:rFonts w:ascii="Arial" w:hAnsi="Arial" w:cs="Arial"/>
          <w:u w:val="single"/>
        </w:rPr>
        <w:t>Base provision</w:t>
      </w:r>
      <w:r>
        <w:rPr>
          <w:rFonts w:ascii="Arial" w:hAnsi="Arial" w:cs="Arial"/>
        </w:rPr>
        <w:t>.    The first provision is estimated by segmenting the portfolio in 252 client clusters based on the type of credit card owned, credit limit, history, current delays, renegotiatio</w:t>
      </w:r>
      <w:r>
        <w:rPr>
          <w:rFonts w:ascii="Arial" w:hAnsi="Arial" w:cs="Arial"/>
        </w:rPr>
        <w:t xml:space="preserve">n history and type of primary expenditures under the card (e.g., supermarkets, department stores or home improvement stores). This segmentation allows us to better identify risks by performing differential risk analysis. We use a write-off model that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w:t>
      </w:r>
      <w:r>
        <w:rPr>
          <w:rFonts w:ascii="Arial" w:hAnsi="Arial" w:cs="Arial"/>
        </w:rPr>
        <w:t xml:space="preserve">119 - </w:t>
      </w:r>
    </w:p>
    <w:p w:rsidR="00000000" w:rsidRDefault="003E5AFF">
      <w:pPr>
        <w:rPr>
          <w:rFonts w:eastAsia="Times New Roman" w:cs="Times New Roman"/>
        </w:rPr>
      </w:pPr>
      <w:r>
        <w:rPr>
          <w:rFonts w:eastAsia="Times New Roman" w:cs="Times New Roman"/>
        </w:rPr>
        <w:pict>
          <v:rect id="_x0000_i1153" style="width:441.9pt;height:3pt" o:hralign="center" o:hrstd="t" o:hrnoshade="t" o:hr="t" fillcolor="#999" stroked="f"/>
        </w:pict>
      </w:r>
    </w:p>
    <w:p w:rsidR="00000000" w:rsidRDefault="003E5AFF">
      <w:pPr>
        <w:pStyle w:val="Heading5"/>
        <w:rPr>
          <w:rFonts w:eastAsia="Times New Roman" w:cs="Times New Roman"/>
        </w:rPr>
      </w:pPr>
      <w:hyperlink r:id="rId17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ind w:left="952"/>
      </w:pPr>
      <w:r>
        <w:rPr>
          <w:rFonts w:ascii="Arial" w:hAnsi="Arial" w:cs="Arial"/>
        </w:rPr>
        <w:t>estimates the statistically relevant non-performance rates per client cluster and generates the expected write-off rates per client cluster. Write-off rates are calculated based on 12-month averages to softe</w:t>
      </w:r>
      <w:r>
        <w:rPr>
          <w:rFonts w:ascii="Arial" w:hAnsi="Arial" w:cs="Arial"/>
        </w:rPr>
        <w:t xml:space="preserve">n seasonality effects. Although write-off rates are updated every six months, if we experience external conditions that may affect our industry, such as significant changes in macroeconomic variables like economic growth, unemployment rates and inflation, </w:t>
      </w:r>
      <w:r>
        <w:rPr>
          <w:rFonts w:ascii="Arial" w:hAnsi="Arial" w:cs="Arial"/>
        </w:rPr>
        <w:t xml:space="preserve">among others, then write-off rates are updated quarterly. </w:t>
      </w:r>
    </w:p>
    <w:p w:rsidR="00000000" w:rsidRDefault="003E5AFF">
      <w:pPr>
        <w:pStyle w:val="NormalWeb"/>
        <w:spacing w:before="120" w:beforeAutospacing="0" w:after="0" w:afterAutospacing="0"/>
        <w:ind w:left="952"/>
      </w:pPr>
      <w:r>
        <w:rPr>
          <w:rFonts w:ascii="Arial" w:hAnsi="Arial" w:cs="Arial"/>
          <w:u w:val="single"/>
        </w:rPr>
        <w:t>Additional provisions</w:t>
      </w:r>
      <w:r>
        <w:rPr>
          <w:rFonts w:ascii="Arial" w:hAnsi="Arial" w:cs="Arial"/>
        </w:rPr>
        <w:t>.    For rehabilitated or renegotiated portfolios and for new products or markets for which there is no payment history to estimate future write-offs, a write-off rate is estim</w:t>
      </w:r>
      <w:r>
        <w:rPr>
          <w:rFonts w:ascii="Arial" w:hAnsi="Arial" w:cs="Arial"/>
        </w:rPr>
        <w:t xml:space="preserve">ated at the time of sale based on _customer_s clones_ that forecast expected behavior until actual behavior and history can be included in the migration to write-offs model. </w:t>
      </w:r>
    </w:p>
    <w:p w:rsidR="00000000" w:rsidRDefault="003E5AFF">
      <w:pPr>
        <w:pStyle w:val="NormalWeb"/>
        <w:spacing w:before="120" w:beforeAutospacing="0" w:after="0" w:afterAutospacing="0"/>
      </w:pPr>
      <w:r>
        <w:rPr>
          <w:rFonts w:ascii="Arial" w:hAnsi="Arial" w:cs="Arial"/>
        </w:rPr>
        <w:t>Once the customer exceeds 180 days of delay, the total debt as of the date is wri</w:t>
      </w:r>
      <w:r>
        <w:rPr>
          <w:rFonts w:ascii="Arial" w:hAnsi="Arial" w:cs="Arial"/>
        </w:rPr>
        <w:t>tten-off and recoveries are registered only on the basis of effective payments. The accuracy, coverage and sufficiency of the provisions are monitored periodically through statistical back testing and these results are reviewed by our risk committee. We be</w:t>
      </w:r>
      <w:r>
        <w:rPr>
          <w:rFonts w:ascii="Arial" w:hAnsi="Arial" w:cs="Arial"/>
        </w:rPr>
        <w:t xml:space="preserve">lieve our allowance for loan and credit losses as of the date hereof is adequate to cover all known or knowable losses in our portfolio of accounts. </w:t>
      </w:r>
    </w:p>
    <w:p w:rsidR="00000000" w:rsidRDefault="003E5AFF">
      <w:pPr>
        <w:pStyle w:val="NormalWeb"/>
        <w:spacing w:before="240" w:beforeAutospacing="0" w:after="0" w:afterAutospacing="0"/>
      </w:pPr>
      <w:r>
        <w:rPr>
          <w:rFonts w:ascii="Arial" w:hAnsi="Arial" w:cs="Arial"/>
          <w:b/>
          <w:bCs/>
          <w:sz w:val="24"/>
          <w:szCs w:val="24"/>
        </w:rPr>
        <w:t xml:space="preserve">Critical accounting policies and estimates </w:t>
      </w:r>
    </w:p>
    <w:p w:rsidR="00000000" w:rsidRDefault="003E5AFF">
      <w:pPr>
        <w:pStyle w:val="NormalWeb"/>
        <w:spacing w:before="120" w:beforeAutospacing="0" w:after="0" w:afterAutospacing="0"/>
      </w:pPr>
      <w:r>
        <w:rPr>
          <w:rFonts w:ascii="Arial" w:hAnsi="Arial" w:cs="Arial"/>
        </w:rPr>
        <w:t>A summary of our significant accounting policies is included i</w:t>
      </w:r>
      <w:r>
        <w:rPr>
          <w:rFonts w:ascii="Arial" w:hAnsi="Arial" w:cs="Arial"/>
        </w:rPr>
        <w:t>n Note 2 to our Audited Consolidated Financial Statements included elsewhere in this prospectus. We believe that the consistent application of these policies enables us to provide readers of our consolidated financial statements with more useful and reliab</w:t>
      </w:r>
      <w:r>
        <w:rPr>
          <w:rFonts w:ascii="Arial" w:hAnsi="Arial" w:cs="Arial"/>
        </w:rPr>
        <w:t xml:space="preserve">le information about our operating results and financial condition. </w:t>
      </w:r>
    </w:p>
    <w:p w:rsidR="00000000" w:rsidRDefault="003E5AFF">
      <w:pPr>
        <w:pStyle w:val="NormalWeb"/>
        <w:spacing w:before="120" w:beforeAutospacing="0" w:after="0" w:afterAutospacing="0"/>
      </w:pPr>
      <w:r>
        <w:rPr>
          <w:rFonts w:ascii="Arial" w:hAnsi="Arial" w:cs="Arial"/>
        </w:rPr>
        <w:t xml:space="preserve">The following policies are the accounting policies that we believe to be the most important in the portrayal of our financial condition and results of operations and require management_s </w:t>
      </w:r>
      <w:r>
        <w:rPr>
          <w:rFonts w:ascii="Arial" w:hAnsi="Arial" w:cs="Arial"/>
        </w:rPr>
        <w:t xml:space="preserve">most difficult, subjective or complex judgments. </w:t>
      </w:r>
    </w:p>
    <w:p w:rsidR="00000000" w:rsidRDefault="003E5AFF">
      <w:pPr>
        <w:pStyle w:val="NormalWeb"/>
        <w:spacing w:before="240" w:beforeAutospacing="0" w:after="0" w:afterAutospacing="0"/>
      </w:pPr>
      <w:r>
        <w:rPr>
          <w:rFonts w:ascii="Arial" w:hAnsi="Arial" w:cs="Arial"/>
          <w:b/>
          <w:bCs/>
          <w:i/>
          <w:iCs/>
        </w:rPr>
        <w:t xml:space="preserve">Estimate of impairment of assets with indefinite useful lives </w:t>
      </w:r>
    </w:p>
    <w:p w:rsidR="00000000" w:rsidRDefault="003E5AFF">
      <w:pPr>
        <w:pStyle w:val="NormalWeb"/>
        <w:spacing w:before="120" w:beforeAutospacing="0" w:after="0" w:afterAutospacing="0"/>
      </w:pPr>
      <w:r>
        <w:rPr>
          <w:rFonts w:ascii="Arial" w:hAnsi="Arial" w:cs="Arial"/>
        </w:rPr>
        <w:t>We assess whether goodwill has experienced any impairment on an annual basis, or more frequently if events or changes in circumstances indicate</w:t>
      </w:r>
      <w:r>
        <w:rPr>
          <w:rFonts w:ascii="Arial" w:hAnsi="Arial" w:cs="Arial"/>
        </w:rPr>
        <w:t xml:space="preserve"> a potential impairment. The recoverable balances of the cash generating units have been determined from the base of their value in use. We apply the methodology of discounting cash flows at a real discount rate calculated for each country. The assets meas</w:t>
      </w:r>
      <w:r>
        <w:rPr>
          <w:rFonts w:ascii="Arial" w:hAnsi="Arial" w:cs="Arial"/>
        </w:rPr>
        <w:t>ured correspond mainly to trademarks and goodwill arising from past business combinations. The measurements are performed for each business segment and for each cash generating unit. The projected cash flows in each segment are allocated initially to ident</w:t>
      </w:r>
      <w:r>
        <w:rPr>
          <w:rFonts w:ascii="Arial" w:hAnsi="Arial" w:cs="Arial"/>
        </w:rPr>
        <w:t xml:space="preserve">ifiable tangible and intangible assets and the exceeding portion is allocated to goodwill. The valuation review of the trademarks incorporates among other factors the market analysis, financial projections and the determination of the role the brand under </w:t>
      </w:r>
      <w:r>
        <w:rPr>
          <w:rFonts w:ascii="Arial" w:hAnsi="Arial" w:cs="Arial"/>
        </w:rPr>
        <w:t>review has in the generation of sales. Changes in these assumptions may have a material impact on our financial results. As of December 31, 2011, the recoverable amount of our cash generating units is substantially in excess of their carrying value. As suc</w:t>
      </w:r>
      <w:r>
        <w:rPr>
          <w:rFonts w:ascii="Arial" w:hAnsi="Arial" w:cs="Arial"/>
        </w:rPr>
        <w:t xml:space="preserve">h, there are no cash generating units at risk of impairment. </w:t>
      </w:r>
    </w:p>
    <w:p w:rsidR="00000000" w:rsidRDefault="003E5AFF">
      <w:pPr>
        <w:pStyle w:val="NormalWeb"/>
        <w:spacing w:before="240" w:beforeAutospacing="0" w:after="0" w:afterAutospacing="0"/>
      </w:pPr>
      <w:r>
        <w:rPr>
          <w:rFonts w:ascii="Arial" w:hAnsi="Arial" w:cs="Arial"/>
          <w:b/>
          <w:bCs/>
          <w:i/>
          <w:iCs/>
        </w:rPr>
        <w:t xml:space="preserve">Useful life of property, plant and equipment </w:t>
      </w:r>
    </w:p>
    <w:p w:rsidR="00000000" w:rsidRDefault="003E5AFF">
      <w:pPr>
        <w:pStyle w:val="NormalWeb"/>
        <w:spacing w:before="120" w:beforeAutospacing="0" w:after="0" w:afterAutospacing="0"/>
      </w:pPr>
      <w:r>
        <w:rPr>
          <w:rFonts w:ascii="Arial" w:hAnsi="Arial" w:cs="Arial"/>
        </w:rPr>
        <w:t xml:space="preserve">We review the estimated useful lives of our property, plant and equipment at the end of each annual period. For the year ended December 31, </w:t>
      </w:r>
      <w:r>
        <w:rPr>
          <w:rFonts w:ascii="Arial" w:hAnsi="Arial" w:cs="Arial"/>
        </w:rPr>
        <w:t xml:space="preserve">2011, we have established that there are no significant changes in the useful lives estimated during the period.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- 120 - </w:t>
      </w:r>
    </w:p>
    <w:p w:rsidR="00000000" w:rsidRDefault="003E5AFF">
      <w:pPr>
        <w:rPr>
          <w:rFonts w:eastAsia="Times New Roman" w:cs="Times New Roman"/>
        </w:rPr>
      </w:pPr>
      <w:r>
        <w:rPr>
          <w:rFonts w:eastAsia="Times New Roman" w:cs="Times New Roman"/>
        </w:rPr>
        <w:pict>
          <v:rect id="_x0000_i1154" style="width:441.9pt;height:3pt" o:hralign="center" o:hrstd="t" o:hrnoshade="t" o:hr="t" fillcolor="#999" stroked="f"/>
        </w:pict>
      </w:r>
    </w:p>
    <w:p w:rsidR="00000000" w:rsidRDefault="003E5AFF">
      <w:pPr>
        <w:pStyle w:val="Heading5"/>
        <w:rPr>
          <w:rFonts w:eastAsia="Times New Roman" w:cs="Times New Roman"/>
        </w:rPr>
      </w:pPr>
      <w:hyperlink r:id="rId17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Impairment of accounts receivable </w:t>
      </w:r>
    </w:p>
    <w:p w:rsidR="00000000" w:rsidRDefault="003E5AFF">
      <w:pPr>
        <w:pStyle w:val="NormalWeb"/>
        <w:spacing w:before="120" w:beforeAutospacing="0" w:after="0" w:afterAutospacing="0"/>
      </w:pPr>
      <w:r>
        <w:rPr>
          <w:rFonts w:ascii="Arial" w:hAnsi="Arial" w:cs="Arial"/>
        </w:rPr>
        <w:t>We assesses the impairment of accounts receivable when there is objective evidence that we will not be able collect all the amounts according to the original terms of the accou</w:t>
      </w:r>
      <w:r>
        <w:rPr>
          <w:rFonts w:ascii="Arial" w:hAnsi="Arial" w:cs="Arial"/>
        </w:rPr>
        <w:t xml:space="preserve">nt receivable. For further information on our accounts receivable, please see Note 8 to our Audited Consolidated Financial Statements and Note 6 to our Unaudited Interim Consolidated Financial Statements. </w:t>
      </w:r>
    </w:p>
    <w:p w:rsidR="00000000" w:rsidRDefault="003E5AFF">
      <w:pPr>
        <w:pStyle w:val="NormalWeb"/>
        <w:spacing w:before="240" w:beforeAutospacing="0" w:after="0" w:afterAutospacing="0"/>
      </w:pPr>
      <w:r>
        <w:rPr>
          <w:rFonts w:ascii="Arial" w:hAnsi="Arial" w:cs="Arial"/>
          <w:b/>
          <w:bCs/>
          <w:i/>
          <w:iCs/>
        </w:rPr>
        <w:t xml:space="preserve">Investment property </w:t>
      </w:r>
    </w:p>
    <w:p w:rsidR="00000000" w:rsidRDefault="003E5AFF">
      <w:pPr>
        <w:pStyle w:val="NormalWeb"/>
        <w:spacing w:before="120" w:beforeAutospacing="0" w:after="0" w:afterAutospacing="0"/>
      </w:pPr>
      <w:r>
        <w:rPr>
          <w:rFonts w:ascii="Arial" w:hAnsi="Arial" w:cs="Arial"/>
        </w:rPr>
        <w:t>For investment property, we u</w:t>
      </w:r>
      <w:r>
        <w:rPr>
          <w:rFonts w:ascii="Arial" w:hAnsi="Arial" w:cs="Arial"/>
        </w:rPr>
        <w:t>se the discounted cash flows methodology using a country-specific weighted average cost of capital after tax, measured in real terms (8.0% in Chile, 14.8% in Argentina and 8.2% in Peru). To this effect, we calculate the revenues from ordinary activities th</w:t>
      </w:r>
      <w:r>
        <w:rPr>
          <w:rFonts w:ascii="Arial" w:hAnsi="Arial" w:cs="Arial"/>
        </w:rPr>
        <w:t>at correspond to the lease income minus direct costs and operating expenses. Additionally, the projected cash flows use recent annual historical information and the projected macroeconomic variables expected to affect each country. The cash flows are calcu</w:t>
      </w:r>
      <w:r>
        <w:rPr>
          <w:rFonts w:ascii="Arial" w:hAnsi="Arial" w:cs="Arial"/>
        </w:rPr>
        <w:t xml:space="preserve">lated in a scenario of moderated growth for those investment properties that have reached the expected maturity level. Changes in these assumptions may have a material impact on results. </w:t>
      </w:r>
    </w:p>
    <w:p w:rsidR="00000000" w:rsidRDefault="003E5AFF">
      <w:pPr>
        <w:pStyle w:val="NormalWeb"/>
        <w:spacing w:before="240" w:beforeAutospacing="0" w:after="0" w:afterAutospacing="0"/>
      </w:pPr>
      <w:r>
        <w:rPr>
          <w:rFonts w:ascii="Arial" w:hAnsi="Arial" w:cs="Arial"/>
          <w:b/>
          <w:bCs/>
          <w:i/>
          <w:iCs/>
        </w:rPr>
        <w:t xml:space="preserve">Impairment of property, plant and equipment </w:t>
      </w:r>
    </w:p>
    <w:p w:rsidR="00000000" w:rsidRDefault="003E5AFF">
      <w:pPr>
        <w:pStyle w:val="NormalWeb"/>
        <w:spacing w:before="120" w:beforeAutospacing="0" w:after="0" w:afterAutospacing="0"/>
      </w:pPr>
      <w:r>
        <w:rPr>
          <w:rFonts w:ascii="Arial" w:hAnsi="Arial" w:cs="Arial"/>
        </w:rPr>
        <w:t>For property, plant and</w:t>
      </w:r>
      <w:r>
        <w:rPr>
          <w:rFonts w:ascii="Arial" w:hAnsi="Arial" w:cs="Arial"/>
        </w:rPr>
        <w:t xml:space="preserve"> equipment, we applied a methodology of discounting future cash flows using a pre-tax nominal discount rate, differentiated by country (11.1% in Chile; 26.7% in Argentina; 11.7% in Peru; 13.9% in Brazil and 11.8% in Colombia). We performed cash flow projec</w:t>
      </w:r>
      <w:r>
        <w:rPr>
          <w:rFonts w:ascii="Arial" w:hAnsi="Arial" w:cs="Arial"/>
        </w:rPr>
        <w:t xml:space="preserve">tions for each country and business segment. We used the functional currency of each country and the projection considers a five-year outlook plus perpetuity. The projections are based on historical information from recent years and the main macroeconomic </w:t>
      </w:r>
      <w:r>
        <w:rPr>
          <w:rFonts w:ascii="Arial" w:hAnsi="Arial" w:cs="Arial"/>
        </w:rPr>
        <w:t xml:space="preserve">variables that affect markets. In addition, the projections consider moderate organic growth and the recurring investments necessary to maintain the cash flow generating capacity of each segment. </w:t>
      </w:r>
    </w:p>
    <w:p w:rsidR="00000000" w:rsidRDefault="003E5AFF">
      <w:pPr>
        <w:pStyle w:val="NormalWeb"/>
        <w:spacing w:before="240" w:beforeAutospacing="0" w:after="0" w:afterAutospacing="0"/>
      </w:pPr>
      <w:r>
        <w:rPr>
          <w:rFonts w:ascii="Arial" w:hAnsi="Arial" w:cs="Arial"/>
          <w:b/>
          <w:bCs/>
          <w:i/>
          <w:iCs/>
        </w:rPr>
        <w:t xml:space="preserve">Financial assets-options </w:t>
      </w:r>
    </w:p>
    <w:p w:rsidR="00000000" w:rsidRDefault="003E5AFF">
      <w:pPr>
        <w:pStyle w:val="NormalWeb"/>
        <w:spacing w:before="120" w:beforeAutospacing="0" w:after="0" w:afterAutospacing="0"/>
      </w:pPr>
      <w:r>
        <w:rPr>
          <w:rFonts w:ascii="Arial" w:hAnsi="Arial" w:cs="Arial"/>
        </w:rPr>
        <w:t>In order to determine the fair va</w:t>
      </w:r>
      <w:r>
        <w:rPr>
          <w:rFonts w:ascii="Arial" w:hAnsi="Arial" w:cs="Arial"/>
        </w:rPr>
        <w:t>lue of call options (a financial asset), we consider the net present value of the discounted cash flows of the underlying asset and an analysis of market comparables, incorporating variables like EBITDA multiples, sales valuations, etc. See Note 16.4 to ou</w:t>
      </w:r>
      <w:r>
        <w:rPr>
          <w:rFonts w:ascii="Arial" w:hAnsi="Arial" w:cs="Arial"/>
        </w:rPr>
        <w:t xml:space="preserve">r Audited Consolidated Financial Statements. </w:t>
      </w:r>
    </w:p>
    <w:p w:rsidR="00000000" w:rsidRDefault="003E5AFF">
      <w:pPr>
        <w:pStyle w:val="NormalWeb"/>
        <w:spacing w:before="240" w:beforeAutospacing="0" w:after="0" w:afterAutospacing="0"/>
      </w:pPr>
      <w:r>
        <w:rPr>
          <w:rFonts w:ascii="Arial" w:hAnsi="Arial" w:cs="Arial"/>
          <w:b/>
          <w:bCs/>
          <w:i/>
          <w:iCs/>
        </w:rPr>
        <w:t xml:space="preserve">Operating segments </w:t>
      </w:r>
    </w:p>
    <w:p w:rsidR="00000000" w:rsidRDefault="003E5AFF">
      <w:pPr>
        <w:pStyle w:val="NormalWeb"/>
        <w:spacing w:before="120" w:beforeAutospacing="0" w:after="0" w:afterAutospacing="0"/>
      </w:pPr>
      <w:r>
        <w:rPr>
          <w:rFonts w:ascii="Arial" w:hAnsi="Arial" w:cs="Arial"/>
        </w:rPr>
        <w:t>For purposes of our Audited Consolidated Financial Statements and our Unaudited Interim Consolidated Financial Statemens, IFRS 8 _Operating Segments_ requires an entity to report financial and descriptive information about its reportable segments, which ar</w:t>
      </w:r>
      <w:r>
        <w:rPr>
          <w:rFonts w:ascii="Arial" w:hAnsi="Arial" w:cs="Arial"/>
        </w:rPr>
        <w:t>e operating segments or aggregations of operating segments that meet specified criteria. Operating segments are components of an entity about which separate financial information is available that is evaluated regularly by the chief operating officer in de</w:t>
      </w:r>
      <w:r>
        <w:rPr>
          <w:rFonts w:ascii="Arial" w:hAnsi="Arial" w:cs="Arial"/>
        </w:rPr>
        <w:t xml:space="preserve">ciding how to allocate resources and in assessing performance. </w:t>
      </w:r>
    </w:p>
    <w:p w:rsidR="00000000" w:rsidRDefault="003E5AFF">
      <w:pPr>
        <w:pStyle w:val="NormalWeb"/>
        <w:spacing w:before="120" w:beforeAutospacing="0" w:after="0" w:afterAutospacing="0"/>
      </w:pPr>
      <w:r>
        <w:rPr>
          <w:rFonts w:ascii="Arial" w:hAnsi="Arial" w:cs="Arial"/>
        </w:rPr>
        <w:t xml:space="preserve">For management purposes, we are organized into six operating segments: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_supermarkets,_ which includes the results of our: Jumbo, Santa Isabel, Disco, Vea, Wong, Metro, GBarbosa, Perini, Super Familia, Bretas and Prezunic supermarkets and hypermarkets in Chile, Argentina, Brazil and Peru, and our Eletro-show stores, GBarbosa p</w:t>
            </w:r>
            <w:r>
              <w:rPr>
                <w:rFonts w:ascii="Arial" w:hAnsi="Arial" w:cs="Arial"/>
              </w:rPr>
              <w:t xml:space="preserve">harmacies in Brazil and Bretas gas stations in Brazil;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- 121 - </w:t>
      </w:r>
    </w:p>
    <w:p w:rsidR="00000000" w:rsidRDefault="003E5AFF">
      <w:pPr>
        <w:rPr>
          <w:rFonts w:eastAsia="Times New Roman" w:cs="Times New Roman"/>
        </w:rPr>
      </w:pPr>
      <w:r>
        <w:rPr>
          <w:rFonts w:eastAsia="Times New Roman" w:cs="Times New Roman"/>
        </w:rPr>
        <w:pict>
          <v:rect id="_x0000_i1155" style="width:441.9pt;height:3pt" o:hralign="center" o:hrstd="t" o:hrnoshade="t" o:hr="t" fillcolor="#999" stroked="f"/>
        </w:pict>
      </w:r>
    </w:p>
    <w:p w:rsidR="00000000" w:rsidRDefault="003E5AFF">
      <w:pPr>
        <w:pStyle w:val="Heading5"/>
        <w:rPr>
          <w:rFonts w:eastAsia="Times New Roman" w:cs="Times New Roman"/>
        </w:rPr>
      </w:pPr>
      <w:hyperlink r:id="rId172"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_shopping centers,_ which includes the results of our shopping centers in Chile, Argentina and Peru;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_home improvement stores,_ which includes the results of our Easy and Blaisten home improvement stores in Chile, Argentina and Colombia;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_department stores,_ which includes the results of our Paris and Johnson_s department stores in Chile;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_financial services,_ which primarily includes the results of our credit card businesses and consumer loans, as well as our limited insurance brokerage operations in Chile, Argentina, and Peru and in Brazil through our joint venture with Banco Bradesco; an</w:t>
            </w:r>
            <w:r>
              <w:rPr>
                <w:rFonts w:ascii="Arial" w:hAnsi="Arial" w:cs="Arial"/>
              </w:rPr>
              <w:t xml:space="preserve">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_other,_ which includes the results of our entertainment centers, loyalty programs and our corporate back-office operations. </w:t>
            </w:r>
          </w:p>
        </w:tc>
      </w:tr>
    </w:tbl>
    <w:p w:rsidR="00000000" w:rsidRDefault="003E5AFF">
      <w:pPr>
        <w:pStyle w:val="NormalWeb"/>
        <w:spacing w:before="120" w:beforeAutospacing="0" w:after="0" w:afterAutospacing="0"/>
      </w:pPr>
      <w:r>
        <w:rPr>
          <w:rFonts w:ascii="Arial" w:hAnsi="Arial" w:cs="Arial"/>
        </w:rPr>
        <w:t>We base operations and resource allocation decisions on these six segments. The operating segments are disclosed in a coherent way consistent with the presentation of internal reports we use in our internal controls and disclosure processes. These operatin</w:t>
      </w:r>
      <w:r>
        <w:rPr>
          <w:rFonts w:ascii="Arial" w:hAnsi="Arial" w:cs="Arial"/>
        </w:rPr>
        <w:t xml:space="preserve">g segments derive their revenues primarily from the sale of products and rendering of services to retail consumers. </w:t>
      </w:r>
    </w:p>
    <w:p w:rsidR="00000000" w:rsidRDefault="003E5AFF">
      <w:pPr>
        <w:pStyle w:val="NormalWeb"/>
        <w:spacing w:before="240" w:beforeAutospacing="0" w:after="0" w:afterAutospacing="0"/>
      </w:pPr>
      <w:r>
        <w:rPr>
          <w:rFonts w:ascii="Arial" w:hAnsi="Arial" w:cs="Arial"/>
          <w:b/>
          <w:bCs/>
          <w:sz w:val="24"/>
          <w:szCs w:val="24"/>
        </w:rPr>
        <w:t xml:space="preserve">Results of operations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The following is a brief description of the revenues and expenses that are included in the line items of ou</w:t>
      </w:r>
      <w:r>
        <w:rPr>
          <w:rFonts w:ascii="Arial" w:hAnsi="Arial" w:cs="Arial"/>
        </w:rPr>
        <w:t xml:space="preserve">r consolidated financial statements. </w:t>
      </w:r>
    </w:p>
    <w:p w:rsidR="00000000" w:rsidRDefault="003E5AFF">
      <w:pPr>
        <w:pStyle w:val="NormalWeb"/>
        <w:spacing w:before="120" w:beforeAutospacing="0" w:after="0" w:afterAutospacing="0"/>
      </w:pPr>
      <w:r>
        <w:rPr>
          <w:rFonts w:ascii="Arial" w:hAnsi="Arial" w:cs="Arial"/>
          <w:i/>
          <w:iCs/>
        </w:rPr>
        <w:t>Revenues from ordinary activities</w:t>
      </w:r>
      <w:r>
        <w:rPr>
          <w:rFonts w:ascii="Arial" w:hAnsi="Arial" w:cs="Arial"/>
        </w:rPr>
        <w:t>.    Our revenues from ordinary activities include (i) sales of products by our retail operations, (ii) rental revenues from our shopping center tenants, and (iii) revenues from our cre</w:t>
      </w:r>
      <w:r>
        <w:rPr>
          <w:rFonts w:ascii="Arial" w:hAnsi="Arial" w:cs="Arial"/>
        </w:rPr>
        <w:t>dit card operations which consists of income from interest and other items charged to cardholders, in each case net of value added taxes paid by the consumer. Our revenues from ordinary activities do not include suppliers_ discounts or rebates, which since</w:t>
      </w:r>
      <w:r>
        <w:rPr>
          <w:rFonts w:ascii="Arial" w:hAnsi="Arial" w:cs="Arial"/>
        </w:rPr>
        <w:t xml:space="preserve"> January 1, 2001, we have accounted for as reductions of our cost of sales. Calculations of revenues from ordinary activities for our shopping centers presented in this prospectus exclude inter-company lease payments by our retail stores to our shopping ce</w:t>
      </w:r>
      <w:r>
        <w:rPr>
          <w:rFonts w:ascii="Arial" w:hAnsi="Arial" w:cs="Arial"/>
        </w:rPr>
        <w:t xml:space="preserve">nters. The term _sales_ as used herein, compared to _revenues from ordinary activities,_ is limited to product sales (net of value added tax) from our supermarket, home improvement and department stores operations. </w:t>
      </w:r>
    </w:p>
    <w:p w:rsidR="00000000" w:rsidRDefault="003E5AFF">
      <w:pPr>
        <w:pStyle w:val="NormalWeb"/>
        <w:spacing w:before="120" w:beforeAutospacing="0" w:after="0" w:afterAutospacing="0"/>
      </w:pPr>
      <w:r>
        <w:rPr>
          <w:rFonts w:ascii="Arial" w:hAnsi="Arial" w:cs="Arial"/>
          <w:i/>
          <w:iCs/>
        </w:rPr>
        <w:t>Cost of sales</w:t>
      </w:r>
      <w:r>
        <w:rPr>
          <w:rFonts w:ascii="Arial" w:hAnsi="Arial" w:cs="Arial"/>
        </w:rPr>
        <w:t>.    Our cost of sales incl</w:t>
      </w:r>
      <w:r>
        <w:rPr>
          <w:rFonts w:ascii="Arial" w:hAnsi="Arial" w:cs="Arial"/>
        </w:rPr>
        <w:t>udes (i) the cost of products sold, inventory shrinkage (e.g., the loss of products between point of purchase from supplier and point of sale), supplier discounts and rebates in our retail divisions, (ii) depreciation of property in our shopping center ope</w:t>
      </w:r>
      <w:r>
        <w:rPr>
          <w:rFonts w:ascii="Arial" w:hAnsi="Arial" w:cs="Arial"/>
        </w:rPr>
        <w:t xml:space="preserve">rations, or (iii) provisions for bad debt, collection and processing cost in our financial services operations. </w:t>
      </w:r>
    </w:p>
    <w:p w:rsidR="00000000" w:rsidRDefault="003E5AFF">
      <w:pPr>
        <w:pStyle w:val="NormalWeb"/>
        <w:spacing w:before="120" w:beforeAutospacing="0" w:after="0" w:afterAutospacing="0"/>
      </w:pPr>
      <w:r>
        <w:rPr>
          <w:rFonts w:ascii="Arial" w:hAnsi="Arial" w:cs="Arial"/>
          <w:i/>
          <w:iCs/>
        </w:rPr>
        <w:t>Administrative expenses, distribution costs and other expenses</w:t>
      </w:r>
      <w:r>
        <w:rPr>
          <w:rFonts w:ascii="Arial" w:hAnsi="Arial" w:cs="Arial"/>
        </w:rPr>
        <w:t xml:space="preserve">.    Administrative expenses, distribution costs and other expenses are composed </w:t>
      </w:r>
      <w:r>
        <w:rPr>
          <w:rFonts w:ascii="Arial" w:hAnsi="Arial" w:cs="Arial"/>
        </w:rPr>
        <w:t xml:space="preserve">of salaries, property rentals to third parties, packaging materials, utilities, services, depreciation and amortization (in our supermarket, home improvement and department store operations), advertising, promotions and other expenses.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- 122 - </w:t>
      </w:r>
    </w:p>
    <w:p w:rsidR="00000000" w:rsidRDefault="003E5AFF">
      <w:pPr>
        <w:rPr>
          <w:rFonts w:eastAsia="Times New Roman" w:cs="Times New Roman"/>
        </w:rPr>
      </w:pPr>
      <w:r>
        <w:rPr>
          <w:rFonts w:eastAsia="Times New Roman" w:cs="Times New Roman"/>
        </w:rPr>
        <w:pict>
          <v:rect id="_x0000_i1156" style="width:441.9pt;height:3pt" o:hralign="center" o:hrstd="t" o:hrnoshade="t" o:hr="t" fillcolor="#999" stroked="f"/>
        </w:pict>
      </w:r>
    </w:p>
    <w:p w:rsidR="00000000" w:rsidRDefault="003E5AFF">
      <w:pPr>
        <w:pStyle w:val="Heading5"/>
        <w:rPr>
          <w:rFonts w:eastAsia="Times New Roman" w:cs="Times New Roman"/>
        </w:rPr>
      </w:pPr>
      <w:hyperlink r:id="rId17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Three months ended March 31, 2012 compared to three months ended March 31, 2011 </w:t>
      </w:r>
    </w:p>
    <w:p w:rsidR="00000000" w:rsidRDefault="003E5AFF">
      <w:pPr>
        <w:pStyle w:val="NormalWeb"/>
        <w:spacing w:before="120" w:beforeAutospacing="0" w:after="0" w:afterAutospacing="0"/>
      </w:pPr>
      <w:r>
        <w:rPr>
          <w:rFonts w:ascii="Arial" w:hAnsi="Arial" w:cs="Arial"/>
        </w:rPr>
        <w:t>The following tabl</w:t>
      </w:r>
      <w:r>
        <w:rPr>
          <w:rFonts w:ascii="Arial" w:hAnsi="Arial" w:cs="Arial"/>
        </w:rPr>
        <w:t xml:space="preserve">e presents, for the periods indicated, certain items of our statement of income: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659"/>
        <w:gridCol w:w="139"/>
        <w:gridCol w:w="56"/>
        <w:gridCol w:w="890"/>
        <w:gridCol w:w="123"/>
        <w:gridCol w:w="139"/>
        <w:gridCol w:w="56"/>
        <w:gridCol w:w="890"/>
        <w:gridCol w:w="123"/>
        <w:gridCol w:w="140"/>
        <w:gridCol w:w="56"/>
        <w:gridCol w:w="912"/>
        <w:gridCol w:w="123"/>
      </w:tblGrid>
      <w:tr w:rsidR="00000000">
        <w:trPr>
          <w:jc w:val="center"/>
        </w:trPr>
        <w:tc>
          <w:tcPr>
            <w:tcW w:w="33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Change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1,615,903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1,268,227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259,320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227,174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184,480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143,612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72,450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65,969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2,168,909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1,738,634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Cost of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1,219,171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956,831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177,921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157,150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137,057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104,047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26,460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14,503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cost of 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1,566,107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1,237,977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396,732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311,397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81,398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47,423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39,565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45,990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51,466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602,802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500,657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Administrative expenses, distribution costs and other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(483,892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(382,052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revenues by function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22,419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Participation in earnings of associates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earnings (losses)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(1,530.2%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46,977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30,266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(Losses)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(28,311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Profit (loss)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54,415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i/>
          <w:iCs/>
        </w:rPr>
        <w:t xml:space="preserve">Revenues from ordinary activities </w:t>
      </w:r>
    </w:p>
    <w:p w:rsidR="00000000" w:rsidRDefault="003E5AFF">
      <w:pPr>
        <w:pStyle w:val="NormalWeb"/>
        <w:spacing w:before="120" w:beforeAutospacing="0" w:after="0" w:afterAutospacing="0"/>
      </w:pPr>
      <w:r>
        <w:rPr>
          <w:rFonts w:ascii="Arial" w:hAnsi="Arial" w:cs="Arial"/>
        </w:rPr>
        <w:t>Our consolidated revenues from ordinary activities increased 24.7%, or Ch$430,275 million, to Ch$2,168,909 million for the three months ended March </w:t>
      </w:r>
      <w:r>
        <w:rPr>
          <w:rFonts w:ascii="Arial" w:hAnsi="Arial" w:cs="Arial"/>
        </w:rPr>
        <w:t xml:space="preserve">31, 2012 from Ch$1,738,634 million for the same period in 2011, as a result of (i) an increase of Ch$347,676 million resulting from growth in revenues from ordinary activities of 27.4% in our supermarkets segment, (ii) an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- 123 - </w:t>
      </w:r>
    </w:p>
    <w:p w:rsidR="00000000" w:rsidRDefault="003E5AFF">
      <w:pPr>
        <w:rPr>
          <w:rFonts w:eastAsia="Times New Roman" w:cs="Times New Roman"/>
        </w:rPr>
      </w:pPr>
      <w:r>
        <w:rPr>
          <w:rFonts w:eastAsia="Times New Roman" w:cs="Times New Roman"/>
        </w:rPr>
        <w:pict>
          <v:rect id="_x0000_i1157" style="width:441.9pt;height:3pt" o:hralign="center" o:hrstd="t" o:hrnoshade="t" o:hr="t" fillcolor="#999" stroked="f"/>
        </w:pict>
      </w:r>
    </w:p>
    <w:p w:rsidR="00000000" w:rsidRDefault="003E5AFF">
      <w:pPr>
        <w:pStyle w:val="Heading5"/>
        <w:rPr>
          <w:rFonts w:eastAsia="Times New Roman" w:cs="Times New Roman"/>
        </w:rPr>
      </w:pPr>
      <w:hyperlink r:id="rId17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increase of Ch$32,146 million resulting from growth in revenues from ordinary activities of 14.2% i</w:t>
      </w:r>
      <w:r>
        <w:rPr>
          <w:rFonts w:ascii="Arial" w:hAnsi="Arial" w:cs="Arial"/>
        </w:rPr>
        <w:t xml:space="preserve">n our home improvement stores segment, (iii) an increase of Ch$40,868 million resulting from growth in revenues from ordinary activities of 28.5% in our department stores segment, (iv) an increase of Ch$3,254 million resulting from growth in revenues from </w:t>
      </w:r>
      <w:r>
        <w:rPr>
          <w:rFonts w:ascii="Arial" w:hAnsi="Arial" w:cs="Arial"/>
        </w:rPr>
        <w:t xml:space="preserve">ordinary activities of 11.0% in our shopping centers segment, and (v) an increase of Ch$6,481 million resulting from growth in revenues from ordinary activities of 9.8% in our financial services segment.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Our consolidated revenues from ordina</w:t>
      </w:r>
      <w:r>
        <w:rPr>
          <w:rFonts w:ascii="Arial" w:hAnsi="Arial" w:cs="Arial"/>
        </w:rPr>
        <w:t>ry activities from our supermarkets increased 27.4%, or Ch$347,676 million, to Ch$1,615,903 million for the three months ended March 31, 2012 from Ch$1,268,227 million for the same period in 2011, primarily due to (i) an increase of Ch$192,403 million resu</w:t>
      </w:r>
      <w:r>
        <w:rPr>
          <w:rFonts w:ascii="Arial" w:hAnsi="Arial" w:cs="Arial"/>
        </w:rPr>
        <w:t>lting from an increase of 53.6% in sales in Brazil driven by the consolidation of Prezunic, which contributed Ch$164,775 million to the increase in revenues, and Cardoso, which contributed to a lesser extent, into our operations, the opening of 20 new stor</w:t>
      </w:r>
      <w:r>
        <w:rPr>
          <w:rFonts w:ascii="Arial" w:hAnsi="Arial" w:cs="Arial"/>
        </w:rPr>
        <w:t>es in Brazil during the prior twelve-month period and an increase of 2.6% in same-store sales in local currency, (ii) an increase of Ch$58,089 million resulting from an increase of 14.1% in sales in Chile driven by the opening of 25 new stores in Chile dur</w:t>
      </w:r>
      <w:r>
        <w:rPr>
          <w:rFonts w:ascii="Arial" w:hAnsi="Arial" w:cs="Arial"/>
        </w:rPr>
        <w:t>ing the prior twelve-month period and an increase in same-store sales of 6.6%, (iii) an increase of Ch$69,298 million resulting from an increase of 19.4% in sales in Argentina driven by the opening of 16 new stores in the country during the prior twelve-mo</w:t>
      </w:r>
      <w:r>
        <w:rPr>
          <w:rFonts w:ascii="Arial" w:hAnsi="Arial" w:cs="Arial"/>
        </w:rPr>
        <w:t>nth period, an increase in same-stores sales in local currency of 22.3% explained partially by high inflation and offset in part by devaluation of the Argentinean Peso against the Chilean Peso, and (iv) an increase of Ch$27,886 million resulting from an in</w:t>
      </w:r>
      <w:r>
        <w:rPr>
          <w:rFonts w:ascii="Arial" w:hAnsi="Arial" w:cs="Arial"/>
        </w:rPr>
        <w:t xml:space="preserve">crease of 19.8% in sales in Peru driven by the openings of 10 new stores in Peru during the prior twelve-month period and an increase in same-stores sales in local currency of 10.4%. </w:t>
      </w:r>
    </w:p>
    <w:p w:rsidR="00000000" w:rsidRDefault="003E5AFF">
      <w:pPr>
        <w:pStyle w:val="NormalWeb"/>
        <w:spacing w:before="240" w:beforeAutospacing="0" w:after="0" w:afterAutospacing="0"/>
      </w:pPr>
      <w:r>
        <w:rPr>
          <w:rFonts w:ascii="Arial" w:hAnsi="Arial" w:cs="Arial"/>
          <w:i/>
          <w:iCs/>
        </w:rPr>
        <w:t xml:space="preserve">Home improvement stores </w:t>
      </w:r>
    </w:p>
    <w:p w:rsidR="00000000" w:rsidRDefault="003E5AFF">
      <w:pPr>
        <w:pStyle w:val="NormalWeb"/>
        <w:spacing w:before="120" w:beforeAutospacing="0" w:after="0" w:afterAutospacing="0"/>
      </w:pPr>
      <w:r>
        <w:rPr>
          <w:rFonts w:ascii="Arial" w:hAnsi="Arial" w:cs="Arial"/>
        </w:rPr>
        <w:t>Our consolidated revenues from ordinary activit</w:t>
      </w:r>
      <w:r>
        <w:rPr>
          <w:rFonts w:ascii="Arial" w:hAnsi="Arial" w:cs="Arial"/>
        </w:rPr>
        <w:t>ies from our home improvement stores increased 14.2%, or Ch$32,146 million, to Ch$259,320 million for the three months ended March 31, 2012 from Ch$227,174 million for the same period in 2011, primarily due to (i) an increase of Ch$26,466 million resulting</w:t>
      </w:r>
      <w:r>
        <w:rPr>
          <w:rFonts w:ascii="Arial" w:hAnsi="Arial" w:cs="Arial"/>
        </w:rPr>
        <w:t xml:space="preserve"> from an increase in revenues of 21.6% in Argentina driven by an increase in same-store sales in local currency of 30.0% driven by inflation, and offset in part by the devaluation of the Argentinean Peso against the Chilean Peso (ii) an increase of Ch$3,98</w:t>
      </w:r>
      <w:r>
        <w:rPr>
          <w:rFonts w:ascii="Arial" w:hAnsi="Arial" w:cs="Arial"/>
        </w:rPr>
        <w:t>1 million resulting from an increase in revenues of 4.2% in Chile driven by an increase in same-store sales in local currency of 3.1%, and (iii) an increase of Ch$1,698 million resulting from an increase in revenues of 18.6% in Colombia driven by an increa</w:t>
      </w:r>
      <w:r>
        <w:rPr>
          <w:rFonts w:ascii="Arial" w:hAnsi="Arial" w:cs="Arial"/>
        </w:rPr>
        <w:t xml:space="preserve">se in same stores sales in local currency of 11.2%. </w:t>
      </w:r>
    </w:p>
    <w:p w:rsidR="00000000" w:rsidRDefault="003E5AFF">
      <w:pPr>
        <w:pStyle w:val="NormalWeb"/>
        <w:spacing w:before="24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Our consolidated revenues from ordinary activities from our department stores in Chile increased 28.5%, or Ch$40,868 million, to Ch$184,480 million for the three months ended March </w:t>
      </w:r>
      <w:r>
        <w:rPr>
          <w:rFonts w:ascii="Arial" w:hAnsi="Arial" w:cs="Arial"/>
        </w:rPr>
        <w:t xml:space="preserve">31, 2012 from Ch$143,612 million for the same period in 2011, primarily due to (i) the consolidation of Johnson_s that contributed additional revenues of Ch$24,929 million during the quarter, (ii) an increase in same store sales of 9.4%, and (iii) one new </w:t>
      </w:r>
      <w:r>
        <w:rPr>
          <w:rFonts w:ascii="Arial" w:hAnsi="Arial" w:cs="Arial"/>
        </w:rPr>
        <w:t xml:space="preserve">store opening. </w:t>
      </w:r>
    </w:p>
    <w:p w:rsidR="00000000" w:rsidRDefault="003E5AFF">
      <w:pPr>
        <w:pStyle w:val="NormalWeb"/>
        <w:spacing w:before="24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 xml:space="preserve">Our consolidated revenues from ordinary activities from our shopping centers increased 11.0%, or Ch$3,254 million, to Ch$32,812 million for the three months ended March 31, 2012 from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- 124 - </w:t>
      </w:r>
    </w:p>
    <w:p w:rsidR="00000000" w:rsidRDefault="003E5AFF">
      <w:pPr>
        <w:rPr>
          <w:rFonts w:eastAsia="Times New Roman" w:cs="Times New Roman"/>
        </w:rPr>
      </w:pPr>
      <w:r>
        <w:rPr>
          <w:rFonts w:eastAsia="Times New Roman" w:cs="Times New Roman"/>
        </w:rPr>
        <w:pict>
          <v:rect id="_x0000_i1158" style="width:441.9pt;height:3pt" o:hralign="center" o:hrstd="t" o:hrnoshade="t" o:hr="t" fillcolor="#999" stroked="f"/>
        </w:pict>
      </w:r>
    </w:p>
    <w:p w:rsidR="00000000" w:rsidRDefault="003E5AFF">
      <w:pPr>
        <w:pStyle w:val="Heading5"/>
        <w:rPr>
          <w:rFonts w:eastAsia="Times New Roman" w:cs="Times New Roman"/>
        </w:rPr>
      </w:pPr>
      <w:hyperlink r:id="rId17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Ch$29,558 million for the same period in 2011, primarily due to (i) an increase of Ch$ 1,832 million resulting from growth in revenues of 12.5% in Chile due to an increase in selling space of 8,710 square meters</w:t>
      </w:r>
      <w:r>
        <w:rPr>
          <w:rFonts w:ascii="Arial" w:hAnsi="Arial" w:cs="Arial"/>
        </w:rPr>
        <w:t xml:space="preserve"> through organic growth, (ii) additional revenues of Ch$599 million derived from new parking fees in our shopping centers, and (iii) an increase of Ch$1,190 million resulting from growth in revenues of 8.8% in Argentina due to an increase in selling space </w:t>
      </w:r>
      <w:r>
        <w:rPr>
          <w:rFonts w:ascii="Arial" w:hAnsi="Arial" w:cs="Arial"/>
        </w:rPr>
        <w:t xml:space="preserve">of 13,394 square meters through organic growth. </w:t>
      </w:r>
    </w:p>
    <w:p w:rsidR="00000000" w:rsidRDefault="003E5AFF">
      <w:pPr>
        <w:pStyle w:val="NormalWeb"/>
        <w:spacing w:before="240" w:beforeAutospacing="0" w:after="0" w:afterAutospacing="0"/>
      </w:pPr>
      <w:r>
        <w:rPr>
          <w:rFonts w:ascii="Arial" w:hAnsi="Arial" w:cs="Arial"/>
          <w:i/>
          <w:iCs/>
        </w:rPr>
        <w:t xml:space="preserve">Financial services </w:t>
      </w:r>
    </w:p>
    <w:p w:rsidR="00000000" w:rsidRDefault="003E5AFF">
      <w:pPr>
        <w:pStyle w:val="NormalWeb"/>
        <w:spacing w:before="120" w:beforeAutospacing="0" w:after="0" w:afterAutospacing="0"/>
      </w:pPr>
      <w:r>
        <w:rPr>
          <w:rFonts w:ascii="Arial" w:hAnsi="Arial" w:cs="Arial"/>
        </w:rPr>
        <w:t xml:space="preserve">Our consolidated revenues from ordinary activities from our financial services segment increased 9.8%, or Ch$6,481 million, to Ch$72,450 million for the three months ended March 31, 2012 </w:t>
      </w:r>
      <w:r>
        <w:rPr>
          <w:rFonts w:ascii="Arial" w:hAnsi="Arial" w:cs="Arial"/>
        </w:rPr>
        <w:t>from Ch$65,969 million for the same period in 2011, primarily due to (i) an increase of Ch$3,874 million due to the consolidation of Johnson_s into our operations (ii) an increase of Ch$3,244 million resulting from an increase in revenues of 45.7% in Argen</w:t>
      </w:r>
      <w:r>
        <w:rPr>
          <w:rFonts w:ascii="Arial" w:hAnsi="Arial" w:cs="Arial"/>
        </w:rPr>
        <w:t>tina driven by a larger loan portfolio, and (iii) an increase of Ch$1,404 million resulting from an increase in revenues of 148.0% in Peru driven by the start-up of our own local credit card. This increase was partially offset by a decrease of 37.4%, or Ch</w:t>
      </w:r>
      <w:r>
        <w:rPr>
          <w:rFonts w:ascii="Arial" w:hAnsi="Arial" w:cs="Arial"/>
        </w:rPr>
        <w:t>$688 million, to Ch$1,150 million for the three month period ended March 31, 2012 from Ch$1,838 million for the same period in 2011, in respect of our share in the joint venture with Bradesco relating to credit card operations in Brazil due to higher bad l</w:t>
      </w:r>
      <w:r>
        <w:rPr>
          <w:rFonts w:ascii="Arial" w:hAnsi="Arial" w:cs="Arial"/>
        </w:rPr>
        <w:t xml:space="preserve">oan allowances provisions during 2012 resulting from changes in the applicable provision methodology and worsening payment performance. </w:t>
      </w:r>
    </w:p>
    <w:p w:rsidR="00000000" w:rsidRDefault="003E5AFF">
      <w:pPr>
        <w:pStyle w:val="NormalWeb"/>
        <w:spacing w:before="240" w:beforeAutospacing="0" w:after="0" w:afterAutospacing="0"/>
      </w:pPr>
      <w:r>
        <w:rPr>
          <w:rFonts w:ascii="Arial" w:hAnsi="Arial" w:cs="Arial"/>
          <w:i/>
          <w:iCs/>
        </w:rPr>
        <w:t xml:space="preserve">Cost of sales </w:t>
      </w:r>
    </w:p>
    <w:p w:rsidR="00000000" w:rsidRDefault="003E5AFF">
      <w:pPr>
        <w:pStyle w:val="NormalWeb"/>
        <w:spacing w:before="120" w:beforeAutospacing="0" w:after="0" w:afterAutospacing="0"/>
      </w:pPr>
      <w:r>
        <w:rPr>
          <w:rFonts w:ascii="Arial" w:hAnsi="Arial" w:cs="Arial"/>
        </w:rPr>
        <w:t>Our consolidated cost of sales increased 26.5%, or Ch$328,130 million, to Ch$1,566,107 million for the t</w:t>
      </w:r>
      <w:r>
        <w:rPr>
          <w:rFonts w:ascii="Arial" w:hAnsi="Arial" w:cs="Arial"/>
        </w:rPr>
        <w:t xml:space="preserve">hree months ended March 31, 2012 from Ch$1,237,977 million for the same period in 2011, primarily due to an increase in sales of 24.7% and higher cost of sales as a percentage of sales primarily due to: (i) the consolidation of Johnson_s in our department </w:t>
      </w:r>
      <w:r>
        <w:rPr>
          <w:rFonts w:ascii="Arial" w:hAnsi="Arial" w:cs="Arial"/>
        </w:rPr>
        <w:t>stores segment and (ii) slightly higher bad loan allowances provisions in our financial services segment made during 2012 in Chile and lower bad loan provisions made during 2011 due to improving economic conditions in Chile. Cost of sales as a percentage o</w:t>
      </w:r>
      <w:r>
        <w:rPr>
          <w:rFonts w:ascii="Arial" w:hAnsi="Arial" w:cs="Arial"/>
        </w:rPr>
        <w:t xml:space="preserve">f sales increased 1.0% to 72.2% for the three months ended March 31, 2012 from 71.2% for the same period in 2011.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 xml:space="preserve">Our consolidated cost of sales in our supermarkets segment increased 27.4%, or Ch$262,340 million, to Ch$1,219,171 million for </w:t>
      </w:r>
      <w:r>
        <w:rPr>
          <w:rFonts w:ascii="Arial" w:hAnsi="Arial" w:cs="Arial"/>
        </w:rPr>
        <w:t>the three months ended March 31, 2012 from Ch$956,831 million for the same period in 2011, primarily due primarily due to (i) an increase in cost of sales in Brazil of Ch$150,296 million resulting from an increase of 53.6% in sales in Brazil and higher cos</w:t>
      </w:r>
      <w:r>
        <w:rPr>
          <w:rFonts w:ascii="Arial" w:hAnsi="Arial" w:cs="Arial"/>
        </w:rPr>
        <w:t>t of sales as a percentage of sales of 0.1%, due to the consolidation of Prezunic into our operations, which contributed Ch$129,913 million to the increase in cost of sales, (ii) an increase of Ch$43,668 million resulting from an increase of 14.1% in sales</w:t>
      </w:r>
      <w:r>
        <w:rPr>
          <w:rFonts w:ascii="Arial" w:hAnsi="Arial" w:cs="Arial"/>
        </w:rPr>
        <w:t xml:space="preserve"> in Chile partially offset by a decrease of 0.2% in cost of sales as a percentage of sales, (iii) an increase of Ch$45,957 million resulting from an increase of 19.4% in sales in Argentina and lower cost of sales as a percentage of sales of 0.8%, due to in</w:t>
      </w:r>
      <w:r>
        <w:rPr>
          <w:rFonts w:ascii="Arial" w:hAnsi="Arial" w:cs="Arial"/>
        </w:rPr>
        <w:t>flation, and (iv) an increase of Ch$22,420 million resulting from an increase of 19.8% in sales in Peru and higher cost of sales as a percentage of sales of 0.8%. Total costs of sales as a percentage of sales remained essentially unchanged at 75.4% for the</w:t>
      </w:r>
      <w:r>
        <w:rPr>
          <w:rFonts w:ascii="Arial" w:hAnsi="Arial" w:cs="Arial"/>
        </w:rPr>
        <w:t xml:space="preserve"> three month period ended March 31, 2011 and 2012.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- 125 - </w:t>
      </w:r>
    </w:p>
    <w:p w:rsidR="00000000" w:rsidRDefault="003E5AFF">
      <w:pPr>
        <w:rPr>
          <w:rFonts w:eastAsia="Times New Roman" w:cs="Times New Roman"/>
        </w:rPr>
      </w:pPr>
      <w:r>
        <w:rPr>
          <w:rFonts w:eastAsia="Times New Roman" w:cs="Times New Roman"/>
        </w:rPr>
        <w:pict>
          <v:rect id="_x0000_i1159" style="width:441.9pt;height:3pt" o:hralign="center" o:hrstd="t" o:hrnoshade="t" o:hr="t" fillcolor="#999" stroked="f"/>
        </w:pict>
      </w:r>
    </w:p>
    <w:p w:rsidR="00000000" w:rsidRDefault="003E5AFF">
      <w:pPr>
        <w:pStyle w:val="Heading5"/>
        <w:rPr>
          <w:rFonts w:eastAsia="Times New Roman" w:cs="Times New Roman"/>
        </w:rPr>
      </w:pPr>
      <w:hyperlink r:id="rId17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 xml:space="preserve">Home improvement stores </w:t>
      </w:r>
    </w:p>
    <w:p w:rsidR="00000000" w:rsidRDefault="003E5AFF">
      <w:pPr>
        <w:pStyle w:val="NormalWeb"/>
        <w:spacing w:before="120" w:beforeAutospacing="0" w:after="0" w:afterAutospacing="0"/>
      </w:pPr>
      <w:r>
        <w:rPr>
          <w:rFonts w:ascii="Arial" w:hAnsi="Arial" w:cs="Arial"/>
        </w:rPr>
        <w:t>Our consolidated cost of sales in our home improvement stores segment increased 13.2%, or Ch$20,771 million, to Ch$177,921 million for the three months ended March 31, 2012 from Ch$157,150 million for the same period in 2011, primarily due to (i) an increa</w:t>
      </w:r>
      <w:r>
        <w:rPr>
          <w:rFonts w:ascii="Arial" w:hAnsi="Arial" w:cs="Arial"/>
        </w:rPr>
        <w:t xml:space="preserve">se of Ch$3,169 million resulting from an increase of 4.2% in sales in Chile while cost of sales as a percentage of sales increased by 0.2% as a result of lower vendor rebates and allowances, (ii) an increase of Ch$16,148 million resulting from an increase </w:t>
      </w:r>
      <w:r>
        <w:rPr>
          <w:rFonts w:ascii="Arial" w:hAnsi="Arial" w:cs="Arial"/>
        </w:rPr>
        <w:t>of 21.6% in sales in Argentina and lower cost of sales as a percentage of sales of 0.8%, due to inflation, and higher vendor allowances, and (iii) an increase of Ch$1,454 million resulting from an increase of 18.6% in sales in Colombia and higher cost of s</w:t>
      </w:r>
      <w:r>
        <w:rPr>
          <w:rFonts w:ascii="Arial" w:hAnsi="Arial" w:cs="Arial"/>
        </w:rPr>
        <w:t>ales as a percentage of sales of 2.2% due to higher sales to wholesalers, which carries higher cost of sales as percentage of sales. Total costs of sales as percentage of sales increased by 1.8% to 74.3% for the three months ended March 31, 2012 from 72.5%</w:t>
      </w:r>
      <w:r>
        <w:rPr>
          <w:rFonts w:ascii="Arial" w:hAnsi="Arial" w:cs="Arial"/>
        </w:rPr>
        <w:t xml:space="preserve"> for the same period in 2011. </w:t>
      </w:r>
    </w:p>
    <w:p w:rsidR="00000000" w:rsidRDefault="003E5AFF">
      <w:pPr>
        <w:pStyle w:val="NormalWeb"/>
        <w:spacing w:before="24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Our consolidated cost of sales in our department stores segment in Chile increased 31.7%, or Ch$33,010 million, to Ch$137,057 million for the three months ended March 31, 2012 from Ch$104,047 million for th</w:t>
      </w:r>
      <w:r>
        <w:rPr>
          <w:rFonts w:ascii="Arial" w:hAnsi="Arial" w:cs="Arial"/>
        </w:rPr>
        <w:t>e same period in 2011, primarily due to (i) higher sales of 28.5% as a result of the consolidation of Johnson_s, which contributed Ch$19,706 million to the increase in cost of sales, and (ii) an increase in same stores sales of 9.4% and one new store openi</w:t>
      </w:r>
      <w:r>
        <w:rPr>
          <w:rFonts w:ascii="Arial" w:hAnsi="Arial" w:cs="Arial"/>
        </w:rPr>
        <w:t xml:space="preserve">ng. Total costs of sales as percentage of sales increased by 1.8% primarily due to the consolidation of Johnson_s which has a higher cost of sales as a percentage of sales than in our Paris stores. </w:t>
      </w:r>
    </w:p>
    <w:p w:rsidR="00000000" w:rsidRDefault="003E5AFF">
      <w:pPr>
        <w:pStyle w:val="NormalWeb"/>
        <w:spacing w:before="24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Our consolidated cost of sales, primarily depreciation and expenses, from our shopping centers segment increased 9.9%, or Ch$461 million, to Ch$5,099 million for the three months ended March 31, 2012 from Ch$4,638 million for the same period in 2011, prima</w:t>
      </w:r>
      <w:r>
        <w:rPr>
          <w:rFonts w:ascii="Arial" w:hAnsi="Arial" w:cs="Arial"/>
        </w:rPr>
        <w:t>rily due to (i) an increase of Ch$195 million resulting from growth in revenues of 12.5% in Chile due to an increase in selling space through organic growth and increased costs associated with the implementation of automated collection of parking fees in t</w:t>
      </w:r>
      <w:r>
        <w:rPr>
          <w:rFonts w:ascii="Arial" w:hAnsi="Arial" w:cs="Arial"/>
        </w:rPr>
        <w:t>he parking lots of our shopping centers, (ii) an increase of Ch$90 million resulting from the growth in revenues of 8.8% in Argentina due to an increase in selling space and higher inflation, and (iii) an increase of Ch$176 million in Peru resulting from a</w:t>
      </w:r>
      <w:r>
        <w:rPr>
          <w:rFonts w:ascii="Arial" w:hAnsi="Arial" w:cs="Arial"/>
        </w:rPr>
        <w:t xml:space="preserve">n increase in revenues of 17.0%. Total cost of sales as a percentage of sales decreased by 0.1% from 15.7% to 15.5% primarily due to higher maintenance costs. </w:t>
      </w:r>
    </w:p>
    <w:p w:rsidR="00000000" w:rsidRDefault="003E5AFF">
      <w:pPr>
        <w:pStyle w:val="NormalWeb"/>
        <w:spacing w:before="240" w:beforeAutospacing="0" w:after="0" w:afterAutospacing="0"/>
      </w:pPr>
      <w:r>
        <w:rPr>
          <w:rFonts w:ascii="Arial" w:hAnsi="Arial" w:cs="Arial"/>
          <w:i/>
          <w:iCs/>
        </w:rPr>
        <w:t xml:space="preserve">Financial services </w:t>
      </w:r>
    </w:p>
    <w:p w:rsidR="00000000" w:rsidRDefault="003E5AFF">
      <w:pPr>
        <w:pStyle w:val="NormalWeb"/>
        <w:spacing w:before="120" w:beforeAutospacing="0" w:after="0" w:afterAutospacing="0"/>
      </w:pPr>
      <w:r>
        <w:rPr>
          <w:rFonts w:ascii="Arial" w:hAnsi="Arial" w:cs="Arial"/>
        </w:rPr>
        <w:t>Our consolidated cost of sales, primarily provisions for bad debts and colle</w:t>
      </w:r>
      <w:r>
        <w:rPr>
          <w:rFonts w:ascii="Arial" w:hAnsi="Arial" w:cs="Arial"/>
        </w:rPr>
        <w:t>ction and processing costs, from our financial services division increased 82.4%, or Ch$11,957 million, to Ch$26,460 million for the three months ended March 31, 2012 from Ch$14,503 million for the same period in 2011, primarily due to (i) an increase of C</w:t>
      </w:r>
      <w:r>
        <w:rPr>
          <w:rFonts w:ascii="Arial" w:hAnsi="Arial" w:cs="Arial"/>
        </w:rPr>
        <w:t>h$10,033 million in Chile, of which Ch$1,143 million was due to incremental costs from the consolidation of Johnson_s credit cards resulting from higher bad loan allowance provisions made during 2012 in Chile and lower bad loan allowance provisions made du</w:t>
      </w:r>
      <w:r>
        <w:rPr>
          <w:rFonts w:ascii="Arial" w:hAnsi="Arial" w:cs="Arial"/>
        </w:rPr>
        <w:t>ring 2011 due to improving economic conditions in Chile following the aftermath of the 2010 earthquake and recovery, (ii) an increase of Ch$647 million resulting from an increase in revenues of 45.7% in Argentina driven by a larger portfolio, partially off</w:t>
      </w:r>
      <w:r>
        <w:rPr>
          <w:rFonts w:ascii="Arial" w:hAnsi="Arial" w:cs="Arial"/>
        </w:rPr>
        <w:t xml:space="preserve">set by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- 126 - </w:t>
      </w:r>
    </w:p>
    <w:p w:rsidR="00000000" w:rsidRDefault="003E5AFF">
      <w:pPr>
        <w:rPr>
          <w:rFonts w:eastAsia="Times New Roman" w:cs="Times New Roman"/>
        </w:rPr>
      </w:pPr>
      <w:r>
        <w:rPr>
          <w:rFonts w:eastAsia="Times New Roman" w:cs="Times New Roman"/>
        </w:rPr>
        <w:pict>
          <v:rect id="_x0000_i1160" style="width:441.9pt;height:3pt" o:hralign="center" o:hrstd="t" o:hrnoshade="t" o:hr="t" fillcolor="#999" stroked="f"/>
        </w:pict>
      </w:r>
    </w:p>
    <w:p w:rsidR="00000000" w:rsidRDefault="003E5AFF">
      <w:pPr>
        <w:pStyle w:val="Heading5"/>
        <w:rPr>
          <w:rFonts w:eastAsia="Times New Roman" w:cs="Times New Roman"/>
        </w:rPr>
      </w:pPr>
      <w:hyperlink r:id="rId17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lower cost of sales as a percentage of sales of 2.8% due to lower cost of funding and lower bad loan allowance provisions and the revaluation of the Chilean peso against the Argentinean peso, and (iii) an increase of Ch$1,276 million resulting from an incr</w:t>
      </w:r>
      <w:r>
        <w:rPr>
          <w:rFonts w:ascii="Arial" w:hAnsi="Arial" w:cs="Arial"/>
        </w:rPr>
        <w:t xml:space="preserve">ease in revenues of 148.0% in Peru driven by the start-up of our local credit card operations. </w:t>
      </w:r>
    </w:p>
    <w:p w:rsidR="00000000" w:rsidRDefault="003E5AFF">
      <w:pPr>
        <w:pStyle w:val="NormalWeb"/>
        <w:spacing w:before="240" w:beforeAutospacing="0" w:after="0" w:afterAutospacing="0"/>
      </w:pPr>
      <w:r>
        <w:rPr>
          <w:rFonts w:ascii="Arial" w:hAnsi="Arial" w:cs="Arial"/>
          <w:i/>
          <w:iCs/>
        </w:rPr>
        <w:t xml:space="preserve">Gross margin </w:t>
      </w:r>
    </w:p>
    <w:p w:rsidR="00000000" w:rsidRDefault="003E5AFF">
      <w:pPr>
        <w:pStyle w:val="NormalWeb"/>
        <w:spacing w:before="120" w:beforeAutospacing="0" w:after="0" w:afterAutospacing="0"/>
      </w:pPr>
      <w:r>
        <w:rPr>
          <w:rFonts w:ascii="Arial" w:hAnsi="Arial" w:cs="Arial"/>
        </w:rPr>
        <w:t>Our consolidated gross margin increased 20.4%, or Ch$102,145 million, to Ch$602,802 million for the three months ended March 31, 2012 from Ch$500,</w:t>
      </w:r>
      <w:r>
        <w:rPr>
          <w:rFonts w:ascii="Arial" w:hAnsi="Arial" w:cs="Arial"/>
        </w:rPr>
        <w:t>657 million for the same period in 2011, essentially due to (i) higher sales and stable cost of sales as a percentage of sales in our supermarket stores segment, (ii) higher sales and lower cost of sales as a percentage of sales in our home improvement sto</w:t>
      </w:r>
      <w:r>
        <w:rPr>
          <w:rFonts w:ascii="Arial" w:hAnsi="Arial" w:cs="Arial"/>
        </w:rPr>
        <w:t xml:space="preserve">res segment, and (iii) higher sales partially offset by higher cost of sales as a percentage of sales in our department stores segment. This was partially offset by higher cost of sales as a percentage of sales in our financial services segment. </w:t>
      </w:r>
    </w:p>
    <w:p w:rsidR="00000000" w:rsidRDefault="003E5AFF">
      <w:pPr>
        <w:pStyle w:val="NormalWeb"/>
        <w:spacing w:before="120" w:beforeAutospacing="0" w:after="0" w:afterAutospacing="0"/>
      </w:pPr>
      <w:r>
        <w:rPr>
          <w:rFonts w:ascii="Arial" w:hAnsi="Arial" w:cs="Arial"/>
        </w:rPr>
        <w:t>Our conso</w:t>
      </w:r>
      <w:r>
        <w:rPr>
          <w:rFonts w:ascii="Arial" w:hAnsi="Arial" w:cs="Arial"/>
        </w:rPr>
        <w:t xml:space="preserve">lidated gross margin as a percentage of revenues from ordinary activities decreased by 1.0%, to 27.8% for the three months ended March 31, 2012 from 28.8% for the same period in 2011.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Our consolidated gross margin in our supermarkets segment</w:t>
      </w:r>
      <w:r>
        <w:rPr>
          <w:rFonts w:ascii="Arial" w:hAnsi="Arial" w:cs="Arial"/>
        </w:rPr>
        <w:t xml:space="preserve"> increased 27.4%, or Ch$85,336 million, to Ch$396,732 million for the three months ended March 31, 2012 from Ch$311,397 million for the same period in 2011, primarily due to an increase in sales in Brazil as a result of the consolidation of Prezunic, (whic</w:t>
      </w:r>
      <w:r>
        <w:rPr>
          <w:rFonts w:ascii="Arial" w:hAnsi="Arial" w:cs="Arial"/>
        </w:rPr>
        <w:t xml:space="preserve">h contributed Ch$34,862 million to the increase in gross margin), and Cardoso into our operations and the opening of 20 new stores. </w:t>
      </w:r>
    </w:p>
    <w:p w:rsidR="00000000" w:rsidRDefault="003E5AFF">
      <w:pPr>
        <w:pStyle w:val="NormalWeb"/>
        <w:spacing w:before="120" w:beforeAutospacing="0" w:after="0" w:afterAutospacing="0"/>
      </w:pPr>
      <w:r>
        <w:rPr>
          <w:rFonts w:ascii="Arial" w:hAnsi="Arial" w:cs="Arial"/>
        </w:rPr>
        <w:t>As a result of the foregoing factors, our consolidated gross margin as a percentage of revenues from ordinary activities in</w:t>
      </w:r>
      <w:r>
        <w:rPr>
          <w:rFonts w:ascii="Arial" w:hAnsi="Arial" w:cs="Arial"/>
        </w:rPr>
        <w:t xml:space="preserve"> our supermarket segment remained unchanged at 24.6% for the three months ended March 31, 2012 from 24.6% for the same period in 2011. </w:t>
      </w:r>
    </w:p>
    <w:p w:rsidR="00000000" w:rsidRDefault="003E5AFF">
      <w:pPr>
        <w:pStyle w:val="NormalWeb"/>
        <w:spacing w:before="240" w:beforeAutospacing="0" w:after="0" w:afterAutospacing="0"/>
      </w:pPr>
      <w:r>
        <w:rPr>
          <w:rFonts w:ascii="Arial" w:hAnsi="Arial" w:cs="Arial"/>
          <w:i/>
          <w:iCs/>
        </w:rPr>
        <w:t xml:space="preserve">Home improvement stores </w:t>
      </w:r>
    </w:p>
    <w:p w:rsidR="00000000" w:rsidRDefault="003E5AFF">
      <w:pPr>
        <w:pStyle w:val="NormalWeb"/>
        <w:spacing w:before="120" w:beforeAutospacing="0" w:after="0" w:afterAutospacing="0"/>
      </w:pPr>
      <w:r>
        <w:rPr>
          <w:rFonts w:ascii="Arial" w:hAnsi="Arial" w:cs="Arial"/>
        </w:rPr>
        <w:t>Our consolidated gross margin in our home improvement stores segment increased 16.2%, or Ch$11,</w:t>
      </w:r>
      <w:r>
        <w:rPr>
          <w:rFonts w:ascii="Arial" w:hAnsi="Arial" w:cs="Arial"/>
        </w:rPr>
        <w:t xml:space="preserve">374 million, to Ch$81,398 million for the three months ended March 31, 2012 from Ch$70,024 million for the same period in 2011, primarily due to an increase in sales and lower cost of sales as a percentage of sales in Argentina, as described above. </w:t>
      </w:r>
    </w:p>
    <w:p w:rsidR="00000000" w:rsidRDefault="003E5AFF">
      <w:pPr>
        <w:pStyle w:val="NormalWeb"/>
        <w:spacing w:before="120" w:beforeAutospacing="0" w:after="0" w:afterAutospacing="0"/>
      </w:pPr>
      <w:r>
        <w:rPr>
          <w:rFonts w:ascii="Arial" w:hAnsi="Arial" w:cs="Arial"/>
        </w:rPr>
        <w:t>As a r</w:t>
      </w:r>
      <w:r>
        <w:rPr>
          <w:rFonts w:ascii="Arial" w:hAnsi="Arial" w:cs="Arial"/>
        </w:rPr>
        <w:t>esult of the foregoing factors, our consolidated gross margin as a percentage of revenues from ordinary activities in our home improvement stores segment increased by 0.6%, to 31.4% for the three months ended March 31, 2012 from 30.8% for the same period i</w:t>
      </w:r>
      <w:r>
        <w:rPr>
          <w:rFonts w:ascii="Arial" w:hAnsi="Arial" w:cs="Arial"/>
        </w:rPr>
        <w:t xml:space="preserve">n 2011. </w:t>
      </w:r>
    </w:p>
    <w:p w:rsidR="00000000" w:rsidRDefault="003E5AFF">
      <w:pPr>
        <w:pStyle w:val="NormalWeb"/>
        <w:spacing w:before="24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Our consolidated gross margin in our department stores segment in Chile increased 19.9%, or Ch$7,858 million, to Ch$47,423 million for the three months ended March 31, 2012 from Ch$39,565 million for the same period in 2011, pri</w:t>
      </w:r>
      <w:r>
        <w:rPr>
          <w:rFonts w:ascii="Arial" w:hAnsi="Arial" w:cs="Arial"/>
        </w:rPr>
        <w:t xml:space="preserve">marily due to an increase in sales as a result of the consolidation of the Johnson_s stores, which contributed Ch$5,223 million to the increase in gross margin, an increase in same store sales and the opening of one new store in Chile, as described above. </w:t>
      </w:r>
    </w:p>
    <w:p w:rsidR="00000000" w:rsidRDefault="003E5AFF">
      <w:pPr>
        <w:pStyle w:val="NormalWeb"/>
        <w:spacing w:before="120" w:beforeAutospacing="0" w:after="0" w:afterAutospacing="0"/>
      </w:pPr>
      <w:r>
        <w:rPr>
          <w:rFonts w:ascii="Arial" w:hAnsi="Arial" w:cs="Arial"/>
        </w:rPr>
        <w:t xml:space="preserve">As a result of the foregoing factors, our consolidated gross margin as a percentage of revenues from ordinary activities in our department stores segment decreased by 1.8%, to 25.7% for the three months ended March 31, 2012 from 27.5% for the same period </w:t>
      </w:r>
      <w:r>
        <w:rPr>
          <w:rFonts w:ascii="Arial" w:hAnsi="Arial" w:cs="Arial"/>
        </w:rPr>
        <w:t xml:space="preserve">in 2011.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- 127 - </w:t>
      </w:r>
    </w:p>
    <w:p w:rsidR="00000000" w:rsidRDefault="003E5AFF">
      <w:pPr>
        <w:rPr>
          <w:rFonts w:eastAsia="Times New Roman" w:cs="Times New Roman"/>
        </w:rPr>
      </w:pPr>
      <w:r>
        <w:rPr>
          <w:rFonts w:eastAsia="Times New Roman" w:cs="Times New Roman"/>
        </w:rPr>
        <w:pict>
          <v:rect id="_x0000_i1161" style="width:441.9pt;height:3pt" o:hralign="center" o:hrstd="t" o:hrnoshade="t" o:hr="t" fillcolor="#999" stroked="f"/>
        </w:pict>
      </w:r>
    </w:p>
    <w:p w:rsidR="00000000" w:rsidRDefault="003E5AFF">
      <w:pPr>
        <w:pStyle w:val="Heading5"/>
        <w:rPr>
          <w:rFonts w:eastAsia="Times New Roman" w:cs="Times New Roman"/>
        </w:rPr>
      </w:pPr>
      <w:hyperlink r:id="rId17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 xml:space="preserve">Our consolidated gross margin in our shopping centers segment increased 11.2%, or Ch$2,792 million, to Ch$27,712 million for the three months ended March 31, </w:t>
      </w:r>
      <w:r>
        <w:rPr>
          <w:rFonts w:ascii="Arial" w:hAnsi="Arial" w:cs="Arial"/>
        </w:rPr>
        <w:t xml:space="preserve">2012 from Ch$24,920 million for the same period in 2011, primarily due to an increase in selling space through organic growth. </w:t>
      </w:r>
    </w:p>
    <w:p w:rsidR="00000000" w:rsidRDefault="003E5AFF">
      <w:pPr>
        <w:pStyle w:val="NormalWeb"/>
        <w:spacing w:before="120" w:beforeAutospacing="0" w:after="0" w:afterAutospacing="0"/>
      </w:pPr>
      <w:r>
        <w:rPr>
          <w:rFonts w:ascii="Arial" w:hAnsi="Arial" w:cs="Arial"/>
        </w:rPr>
        <w:t xml:space="preserve">As a result of the foregoing factors, our consolidated gross margin as a percentage of revenues from ordinary activities in our </w:t>
      </w:r>
      <w:r>
        <w:rPr>
          <w:rFonts w:ascii="Arial" w:hAnsi="Arial" w:cs="Arial"/>
        </w:rPr>
        <w:t xml:space="preserve">shopping centers segment increased by 0.1%, to 84.5% for the three months ended March 31, 2012 from 84.3% for the same period in 2011. </w:t>
      </w:r>
    </w:p>
    <w:p w:rsidR="00000000" w:rsidRDefault="003E5AFF">
      <w:pPr>
        <w:pStyle w:val="NormalWeb"/>
        <w:spacing w:before="240" w:beforeAutospacing="0" w:after="0" w:afterAutospacing="0"/>
      </w:pPr>
      <w:r>
        <w:rPr>
          <w:rFonts w:ascii="Arial" w:hAnsi="Arial" w:cs="Arial"/>
          <w:i/>
          <w:iCs/>
        </w:rPr>
        <w:t xml:space="preserve">Financial services </w:t>
      </w:r>
    </w:p>
    <w:p w:rsidR="00000000" w:rsidRDefault="003E5AFF">
      <w:pPr>
        <w:pStyle w:val="NormalWeb"/>
        <w:spacing w:before="120" w:beforeAutospacing="0" w:after="0" w:afterAutospacing="0"/>
      </w:pPr>
      <w:r>
        <w:rPr>
          <w:rFonts w:ascii="Arial" w:hAnsi="Arial" w:cs="Arial"/>
        </w:rPr>
        <w:t>Our consolidated gross margin in our financial services segment decreased 10.6%, or Ch$5,476 million</w:t>
      </w:r>
      <w:r>
        <w:rPr>
          <w:rFonts w:ascii="Arial" w:hAnsi="Arial" w:cs="Arial"/>
        </w:rPr>
        <w:t xml:space="preserve">, to Ch$45,990 million for the three months ended March 31, 2012 from Ch$51,466 million for the same period in 2011, primarily due to higher bad loan allowance provisions in Chile. </w:t>
      </w:r>
    </w:p>
    <w:p w:rsidR="00000000" w:rsidRDefault="003E5AFF">
      <w:pPr>
        <w:pStyle w:val="NormalWeb"/>
        <w:spacing w:before="240" w:beforeAutospacing="0" w:after="0" w:afterAutospacing="0"/>
      </w:pPr>
      <w:r>
        <w:rPr>
          <w:rFonts w:ascii="Arial" w:hAnsi="Arial" w:cs="Arial"/>
          <w:i/>
          <w:iCs/>
        </w:rPr>
        <w:t xml:space="preserve">Other revenues by function </w:t>
      </w:r>
    </w:p>
    <w:p w:rsidR="00000000" w:rsidRDefault="003E5AFF">
      <w:pPr>
        <w:pStyle w:val="NormalWeb"/>
        <w:spacing w:before="120" w:beforeAutospacing="0" w:after="0" w:afterAutospacing="0"/>
      </w:pPr>
      <w:r>
        <w:rPr>
          <w:rFonts w:ascii="Arial" w:hAnsi="Arial" w:cs="Arial"/>
        </w:rPr>
        <w:t>Our consolidated other revenues by function in</w:t>
      </w:r>
      <w:r>
        <w:rPr>
          <w:rFonts w:ascii="Arial" w:hAnsi="Arial" w:cs="Arial"/>
        </w:rPr>
        <w:t>creased by Ch$8,399 million, to Ch$22,419 million for the three-month period ended March 31, 2012 from Ch$14,080 million for the same period in 2011, as a result of an increase in the fair value of investment properties in our shopping centers and land loc</w:t>
      </w:r>
      <w:r>
        <w:rPr>
          <w:rFonts w:ascii="Arial" w:hAnsi="Arial" w:cs="Arial"/>
        </w:rPr>
        <w:t>ated in Chile, Argentina and Peru. The increase in fair value of investment properties was due primarily to: (i) lower discount rates used to determine fair value as a result of a lower benchmark rate, in particular the U.S. 30 year treasury bond, (ii) inf</w:t>
      </w:r>
      <w:r>
        <w:rPr>
          <w:rFonts w:ascii="Arial" w:hAnsi="Arial" w:cs="Arial"/>
        </w:rPr>
        <w:t>lation, as revenues are positively affected by inflation, particularly in Argentina, and (iii) improved performance of our shopping center operations from improved revenues associated with the growth, maturity and lower vacancy rates of our shopping center</w:t>
      </w:r>
      <w:r>
        <w:rPr>
          <w:rFonts w:ascii="Arial" w:hAnsi="Arial" w:cs="Arial"/>
        </w:rPr>
        <w:t xml:space="preserve">s_ operations. </w:t>
      </w:r>
    </w:p>
    <w:p w:rsidR="00000000" w:rsidRDefault="003E5AFF">
      <w:pPr>
        <w:pStyle w:val="NormalWeb"/>
        <w:spacing w:before="240" w:beforeAutospacing="0" w:after="0" w:afterAutospacing="0"/>
      </w:pPr>
      <w:r>
        <w:rPr>
          <w:rFonts w:ascii="Arial" w:hAnsi="Arial" w:cs="Arial"/>
          <w:i/>
          <w:iCs/>
        </w:rPr>
        <w:t xml:space="preserve">Administrative expenses, distribution costs and other expenses </w:t>
      </w:r>
    </w:p>
    <w:p w:rsidR="00000000" w:rsidRDefault="003E5AFF">
      <w:pPr>
        <w:pStyle w:val="NormalWeb"/>
        <w:spacing w:before="120" w:beforeAutospacing="0" w:after="0" w:afterAutospacing="0"/>
      </w:pPr>
      <w:r>
        <w:rPr>
          <w:rFonts w:ascii="Arial" w:hAnsi="Arial" w:cs="Arial"/>
        </w:rPr>
        <w:t xml:space="preserve">Our administrative expenses, distribution costs and other expenses increased 26.7%, or Ch$101,840 million, to Ch$483,892 million for the three months ended March 31, 2012 from </w:t>
      </w:r>
      <w:r>
        <w:rPr>
          <w:rFonts w:ascii="Arial" w:hAnsi="Arial" w:cs="Arial"/>
        </w:rPr>
        <w:t>Ch$382,052 million for the same period in 2011, primarily due to (i) higher administrative expenses and distribution costs in our supermarket stores segment of Ch$74,414 million to Ch$323,446 million in the first three months of 2012 from Ch$249,033 millio</w:t>
      </w:r>
      <w:r>
        <w:rPr>
          <w:rFonts w:ascii="Arial" w:hAnsi="Arial" w:cs="Arial"/>
        </w:rPr>
        <w:t>n for the same period in 2011 resulting from higher sales and higher severance expenses in Argentina from workforce reductions of Ch$2,679 million, (ii) higher administrative expenses in our department store segment of Ch$13,762 million to Ch$51,181 millio</w:t>
      </w:r>
      <w:r>
        <w:rPr>
          <w:rFonts w:ascii="Arial" w:hAnsi="Arial" w:cs="Arial"/>
        </w:rPr>
        <w:t xml:space="preserve">n in the first three months of 2012 from Ch$37,419 million for the same period in 2011 primarily as a result of the consolidation of Johnson_s stores, and (iii) higher administrative expenses in our home improvement stores segment of Ch$8,395 to Ch$60,675 </w:t>
      </w:r>
      <w:r>
        <w:rPr>
          <w:rFonts w:ascii="Arial" w:hAnsi="Arial" w:cs="Arial"/>
        </w:rPr>
        <w:t xml:space="preserve">million in the first three months of 2012 from Ch$52,281 million for the same period in 2011 primarily as a result of higher sales. </w:t>
      </w:r>
    </w:p>
    <w:p w:rsidR="00000000" w:rsidRDefault="003E5AFF">
      <w:pPr>
        <w:pStyle w:val="NormalWeb"/>
        <w:spacing w:before="120" w:beforeAutospacing="0" w:after="0" w:afterAutospacing="0"/>
      </w:pPr>
      <w:r>
        <w:rPr>
          <w:rFonts w:ascii="Arial" w:hAnsi="Arial" w:cs="Arial"/>
        </w:rPr>
        <w:t>As a percentage of revenues from ordinary activities, our consolidated administrative expenses, distribution costs and othe</w:t>
      </w:r>
      <w:r>
        <w:rPr>
          <w:rFonts w:ascii="Arial" w:hAnsi="Arial" w:cs="Arial"/>
        </w:rPr>
        <w:t xml:space="preserve">r expenses increased by 0.3%, to 22.3% for the three months ended March 31, 2012 from 22.0% for the same period in 2011.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- 128 - </w:t>
      </w:r>
    </w:p>
    <w:p w:rsidR="00000000" w:rsidRDefault="003E5AFF">
      <w:pPr>
        <w:rPr>
          <w:rFonts w:eastAsia="Times New Roman" w:cs="Times New Roman"/>
        </w:rPr>
      </w:pPr>
      <w:r>
        <w:rPr>
          <w:rFonts w:eastAsia="Times New Roman" w:cs="Times New Roman"/>
        </w:rPr>
        <w:pict>
          <v:rect id="_x0000_i1162" style="width:441.9pt;height:3pt" o:hralign="center" o:hrstd="t" o:hrnoshade="t" o:hr="t" fillcolor="#999" stroked="f"/>
        </w:pict>
      </w:r>
    </w:p>
    <w:p w:rsidR="00000000" w:rsidRDefault="003E5AFF">
      <w:pPr>
        <w:pStyle w:val="Heading5"/>
        <w:rPr>
          <w:rFonts w:eastAsia="Times New Roman" w:cs="Times New Roman"/>
        </w:rPr>
      </w:pPr>
      <w:hyperlink r:id="rId17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 xml:space="preserve">Results from financial and </w:t>
      </w:r>
      <w:r>
        <w:rPr>
          <w:rFonts w:ascii="Arial" w:hAnsi="Arial" w:cs="Arial"/>
          <w:i/>
          <w:iCs/>
        </w:rPr>
        <w:t xml:space="preserve">other activities </w:t>
      </w:r>
    </w:p>
    <w:p w:rsidR="00000000" w:rsidRDefault="003E5AFF">
      <w:pPr>
        <w:pStyle w:val="NormalWeb"/>
        <w:spacing w:before="120" w:beforeAutospacing="0" w:after="0" w:afterAutospacing="0"/>
      </w:pPr>
      <w:r>
        <w:rPr>
          <w:rFonts w:ascii="Arial" w:hAnsi="Arial" w:cs="Arial"/>
        </w:rPr>
        <w:t xml:space="preserve">The following table presents, for the periods indicated, a breakdown of our consolidated results from financial and other activities, as well as the percentage variation from period to period: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5070"/>
        <w:gridCol w:w="143"/>
        <w:gridCol w:w="56"/>
        <w:gridCol w:w="679"/>
        <w:gridCol w:w="123"/>
        <w:gridCol w:w="143"/>
        <w:gridCol w:w="56"/>
        <w:gridCol w:w="679"/>
        <w:gridCol w:w="123"/>
        <w:gridCol w:w="143"/>
        <w:gridCol w:w="56"/>
        <w:gridCol w:w="912"/>
        <w:gridCol w:w="123"/>
      </w:tblGrid>
      <w:tr w:rsidR="00000000">
        <w:trPr>
          <w:jc w:val="center"/>
        </w:trPr>
        <w:tc>
          <w:tcPr>
            <w:tcW w:w="35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w:t>
            </w:r>
            <w:r>
              <w:rPr>
                <w:rFonts w:ascii="Arial" w:eastAsia="Times New Roman" w:hAnsi="Arial" w:cs="Arial"/>
                <w:b/>
                <w:bCs/>
              </w:rPr>
              <w:br/>
              <w:t>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 Change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Other earnings (losses)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(1.530.2%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(49,784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(33,955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(Losses) gains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gains (losses) from financial and other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(57,243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(39,628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120" w:beforeAutospacing="0" w:after="0" w:afterAutospacing="0"/>
      </w:pPr>
      <w:r>
        <w:rPr>
          <w:rFonts w:ascii="Arial" w:hAnsi="Arial" w:cs="Arial"/>
        </w:rPr>
        <w:t xml:space="preserve">Our consolidated losses from financial and </w:t>
      </w:r>
      <w:r>
        <w:rPr>
          <w:rFonts w:ascii="Arial" w:hAnsi="Arial" w:cs="Arial"/>
        </w:rPr>
        <w:t xml:space="preserve">other activities decreased by Ch$17,616 million, to a loss of Ch$57,243 million for the three months ended March 31, 2012 from a loss of Ch$39,628 million for the same period in 2011. This increase was primarily due to the following factors: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higher financial expenses in the amount of Ch$15,830 million to Ch$49,784 million for the three months ended March 31, 2012 from Ch$33,955 million for the same period in 2011 due to higher debt outstanding;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lower financial income of Ch$881 million to Ch$2,808 million for the three months ended March 31, 2012 from Ch$3,689 million for the same period in 2011 due to lower excess cash available for investments;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higher losses in the other earnings (</w:t>
            </w:r>
            <w:r>
              <w:rPr>
                <w:rFonts w:ascii="Arial" w:hAnsi="Arial" w:cs="Arial"/>
              </w:rPr>
              <w:t>losses) account of Ch$8,815 million to a loss of Ch$8,239 million for the three months ended March 31, 2012 from a gain of Ch$576 million for the same period in 2011 primarily due to mark-to-market fair value changes in the UBS Call Option (as defined belo</w:t>
            </w:r>
            <w:r>
              <w:rPr>
                <w:rFonts w:ascii="Arial" w:hAnsi="Arial" w:cs="Arial"/>
              </w:rPr>
              <w:t xml:space="preserve">w, see _Business_Material Agreements);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partially offset by gains of Ch$10,299 million to Ch$6,619 million for the three months ended March 31, 2012 from a loss of Ch$3,680 million for the same </w:t>
            </w:r>
            <w:r>
              <w:rPr>
                <w:rFonts w:ascii="Arial" w:hAnsi="Arial" w:cs="Arial"/>
              </w:rPr>
              <w:t xml:space="preserve">period in 2011 from exchange differences primarily due to the depreciation of the Chilean peso against the U.S. dollar at the end of the first three months of 2012. </w:t>
            </w:r>
          </w:p>
        </w:tc>
      </w:tr>
    </w:tbl>
    <w:p w:rsidR="00000000" w:rsidRDefault="003E5AFF">
      <w:pPr>
        <w:pStyle w:val="NormalWeb"/>
        <w:spacing w:before="240" w:beforeAutospacing="0" w:after="0" w:afterAutospacing="0"/>
      </w:pPr>
      <w:r>
        <w:rPr>
          <w:rFonts w:ascii="Arial" w:hAnsi="Arial" w:cs="Arial"/>
          <w:i/>
          <w:iCs/>
        </w:rPr>
        <w:t xml:space="preserve">Income tax charge </w:t>
      </w:r>
    </w:p>
    <w:p w:rsidR="00000000" w:rsidRDefault="003E5AFF">
      <w:pPr>
        <w:pStyle w:val="NormalWeb"/>
        <w:spacing w:before="120" w:beforeAutospacing="0" w:after="0" w:afterAutospacing="0"/>
      </w:pPr>
      <w:r>
        <w:rPr>
          <w:rFonts w:ascii="Arial" w:hAnsi="Arial" w:cs="Arial"/>
        </w:rPr>
        <w:t>For the three months ended March </w:t>
      </w:r>
      <w:r>
        <w:rPr>
          <w:rFonts w:ascii="Arial" w:hAnsi="Arial" w:cs="Arial"/>
        </w:rPr>
        <w:t>31, 2012, we had an income tax expense of Ch$28,311 million, compared to an income tax expense of Ch$25,386 million for the same period in 2011. This increase of Ch$2,925 million primarily reflected a higher taxable income as a consequence of (i) the finan</w:t>
      </w:r>
      <w:r>
        <w:rPr>
          <w:rFonts w:ascii="Arial" w:hAnsi="Arial" w:cs="Arial"/>
        </w:rPr>
        <w:t>cial impact of Ch$9.713 million from the UBS Call Option (as defined below, see _Business_Material Agreements_) that reduced our net income but did not have an impact on our taxable income and (ii) Ch$5.738 million of taxable expenses associated with the i</w:t>
      </w:r>
      <w:r>
        <w:rPr>
          <w:rFonts w:ascii="Arial" w:hAnsi="Arial" w:cs="Arial"/>
        </w:rPr>
        <w:t xml:space="preserve">ssuance of the US$750 million Reg S/144A Bond in January 2011 that under IFRS were capitalized as cost of issuance affecting the effective interest rate. </w:t>
      </w:r>
    </w:p>
    <w:p w:rsidR="00000000" w:rsidRDefault="003E5AFF">
      <w:pPr>
        <w:pStyle w:val="NormalWeb"/>
        <w:spacing w:before="240" w:beforeAutospacing="0" w:after="0" w:afterAutospacing="0"/>
      </w:pPr>
      <w:r>
        <w:rPr>
          <w:rFonts w:ascii="Arial" w:hAnsi="Arial" w:cs="Arial"/>
          <w:i/>
          <w:iCs/>
        </w:rPr>
        <w:t xml:space="preserve">Profit (loss) attributable to controlling shareholders </w:t>
      </w:r>
    </w:p>
    <w:p w:rsidR="00000000" w:rsidRDefault="003E5AFF">
      <w:pPr>
        <w:pStyle w:val="NormalWeb"/>
        <w:spacing w:before="120" w:beforeAutospacing="0" w:after="0" w:afterAutospacing="0"/>
      </w:pPr>
      <w:r>
        <w:rPr>
          <w:rFonts w:ascii="Arial" w:hAnsi="Arial" w:cs="Arial"/>
        </w:rPr>
        <w:t>As a result of the above factors, our net ear</w:t>
      </w:r>
      <w:r>
        <w:rPr>
          <w:rFonts w:ascii="Arial" w:hAnsi="Arial" w:cs="Arial"/>
        </w:rPr>
        <w:t>nings decreased 17.3%, or Ch$16,904 million, to Ch$54,415 million for the three months ended March 31, 2012 from Ch$65,803 million for the same period in 2011. Our net earnings, as a percentage of revenues from ordinary activities, decreased by 1.4%, to 2.</w:t>
      </w:r>
      <w:r>
        <w:rPr>
          <w:rFonts w:ascii="Arial" w:hAnsi="Arial" w:cs="Arial"/>
        </w:rPr>
        <w:t xml:space="preserve">5% for the three months ended March 31, 2012 from 3.8% for the same period in 2011.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- 129 - </w:t>
      </w:r>
    </w:p>
    <w:p w:rsidR="00000000" w:rsidRDefault="003E5AFF">
      <w:pPr>
        <w:rPr>
          <w:rFonts w:eastAsia="Times New Roman" w:cs="Times New Roman"/>
        </w:rPr>
      </w:pPr>
      <w:r>
        <w:rPr>
          <w:rFonts w:eastAsia="Times New Roman" w:cs="Times New Roman"/>
        </w:rPr>
        <w:pict>
          <v:rect id="_x0000_i1163" style="width:441.9pt;height:3pt" o:hralign="center" o:hrstd="t" o:hrnoshade="t" o:hr="t" fillcolor="#999" stroked="f"/>
        </w:pict>
      </w:r>
    </w:p>
    <w:p w:rsidR="00000000" w:rsidRDefault="003E5AFF">
      <w:pPr>
        <w:pStyle w:val="Heading5"/>
        <w:rPr>
          <w:rFonts w:eastAsia="Times New Roman" w:cs="Times New Roman"/>
        </w:rPr>
      </w:pPr>
      <w:hyperlink r:id="rId18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Year ended December 31, 2011 compared to year ended December 31, 2010 </w:t>
      </w:r>
    </w:p>
    <w:p w:rsidR="00000000" w:rsidRDefault="003E5AFF">
      <w:pPr>
        <w:pStyle w:val="NormalWeb"/>
        <w:spacing w:before="120" w:beforeAutospacing="0" w:after="0" w:afterAutospacing="0"/>
      </w:pPr>
      <w:r>
        <w:rPr>
          <w:rFonts w:ascii="Arial" w:hAnsi="Arial" w:cs="Arial"/>
        </w:rPr>
        <w:t xml:space="preserve">The following table presents, for the periods indicated, certain items of our statement of income: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531"/>
        <w:gridCol w:w="137"/>
        <w:gridCol w:w="56"/>
        <w:gridCol w:w="957"/>
        <w:gridCol w:w="123"/>
        <w:gridCol w:w="138"/>
        <w:gridCol w:w="56"/>
        <w:gridCol w:w="957"/>
        <w:gridCol w:w="123"/>
        <w:gridCol w:w="138"/>
        <w:gridCol w:w="68"/>
        <w:gridCol w:w="899"/>
        <w:gridCol w:w="123"/>
      </w:tblGrid>
      <w:tr w:rsidR="00000000">
        <w:trPr>
          <w:jc w:val="center"/>
        </w:trPr>
        <w:tc>
          <w:tcPr>
            <w:tcW w:w="33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w:t>
            </w:r>
            <w:r>
              <w:rPr>
                <w:rFonts w:ascii="Arial" w:eastAsia="Times New Roman" w:hAnsi="Arial" w:cs="Arial"/>
                <w:b/>
                <w:bCs/>
              </w:rPr>
              <w:br/>
              <w:t>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Change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5,556,271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4,452,759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948,641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819,838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622,719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129,727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116,991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267,874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221,010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11,520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7,604,806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6,236,974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Cost of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(4,177,664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(3,355,796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(647,337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(561,006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(499,413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(446,769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(17,858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(85,632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cost of 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(5,434,917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(4,457,229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1,378,607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1,096,963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301,303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258,832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191,359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175,950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182,242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150,552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2,169,890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1,779,745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Administrative expenses, distribution costs and other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(1,669,374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(1,371,074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revenues by function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85,128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43,871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Participation in earnings of associates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earnings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(133,152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(69,807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(Losses)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(31,289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(119,556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Profit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285,915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296,261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b/>
          <w:bCs/>
          <w:i/>
          <w:iCs/>
        </w:rPr>
        <w:t xml:space="preserve">Revenues from ordinary activities </w:t>
      </w:r>
    </w:p>
    <w:p w:rsidR="00000000" w:rsidRDefault="003E5AFF">
      <w:pPr>
        <w:pStyle w:val="NormalWeb"/>
        <w:spacing w:before="120" w:beforeAutospacing="0" w:after="0" w:afterAutospacing="0"/>
      </w:pPr>
      <w:r>
        <w:rPr>
          <w:rFonts w:ascii="Arial" w:hAnsi="Arial" w:cs="Arial"/>
        </w:rPr>
        <w:t xml:space="preserve">Our consolidated revenues from ordinary activities increased 21.9%, or Ch$1,367,833 million, to Ch$7,604,806 million for the year ended December 31, 2011 from Ch$6,236,974 million for the same period in 2010, as a result of (i) an increase of Ch$1,103,512 </w:t>
      </w:r>
      <w:r>
        <w:rPr>
          <w:rFonts w:ascii="Arial" w:hAnsi="Arial" w:cs="Arial"/>
        </w:rPr>
        <w:t xml:space="preserve">million resulting from growth in revenues from ordinary activities of 24.8 % in our supermarkets segment, (ii) an increase of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- 130 - </w:t>
      </w:r>
    </w:p>
    <w:p w:rsidR="00000000" w:rsidRDefault="003E5AFF">
      <w:pPr>
        <w:rPr>
          <w:rFonts w:eastAsia="Times New Roman" w:cs="Times New Roman"/>
        </w:rPr>
      </w:pPr>
      <w:r>
        <w:rPr>
          <w:rFonts w:eastAsia="Times New Roman" w:cs="Times New Roman"/>
        </w:rPr>
        <w:pict>
          <v:rect id="_x0000_i1164" style="width:441.9pt;height:3pt" o:hralign="center" o:hrstd="t" o:hrnoshade="t" o:hr="t" fillcolor="#999" stroked="f"/>
        </w:pict>
      </w:r>
    </w:p>
    <w:p w:rsidR="00000000" w:rsidRDefault="003E5AFF">
      <w:pPr>
        <w:pStyle w:val="Heading5"/>
        <w:rPr>
          <w:rFonts w:eastAsia="Times New Roman" w:cs="Times New Roman"/>
        </w:rPr>
      </w:pPr>
      <w:hyperlink r:id="rId181"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rPr>
        <w:t>Ch$128,803 million resulting from growth in revenues from ordinary activities of 15.7% in our home improvement stores segment, (iii) an increase of Ch$68,054 million resulting from growth in revenues from ordinary activities of 10.9% in our de</w:t>
      </w:r>
      <w:r>
        <w:rPr>
          <w:rFonts w:ascii="Arial" w:hAnsi="Arial" w:cs="Arial"/>
        </w:rPr>
        <w:t>partment stores segment, (iv) an increase of Ch$12,737 million resulting from growth in revenues from ordinary activities of 10.9% in our shopping centers segment, and (v) an increase of Ch$46,864 million resulting from growth in revenues from ordinary act</w:t>
      </w:r>
      <w:r>
        <w:rPr>
          <w:rFonts w:ascii="Arial" w:hAnsi="Arial" w:cs="Arial"/>
        </w:rPr>
        <w:t xml:space="preserve">ivities of 21.2% in our financial services segment.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Our consolidated revenues from ordinary activities from our supermarkets increased 24.8% or Ch$1,103,512 million, to Ch$5,566,271 million for the year ended December 31, 2011 from Ch$4,452,</w:t>
      </w:r>
      <w:r>
        <w:rPr>
          <w:rFonts w:ascii="Arial" w:hAnsi="Arial" w:cs="Arial"/>
        </w:rPr>
        <w:t>759 million for the same period in 2010, primarily due to (i) an increase of Ch$709,163 million resulting from an increase of 84.1% in sales in Brazil driven by the consolidation of Bretas into our operations, which contributed Ch$623,745 million to the in</w:t>
      </w:r>
      <w:r>
        <w:rPr>
          <w:rFonts w:ascii="Arial" w:hAnsi="Arial" w:cs="Arial"/>
        </w:rPr>
        <w:t>crease in revenues, the opening of 22 new stores in Brazil and an increase of 1.3% in same-store sales in local currency, (ii) an increase of Ch$ 146,035 million resulting from an increase of 8.7% in sales in Chile driven by the opening of 30 new stores in</w:t>
      </w:r>
      <w:r>
        <w:rPr>
          <w:rFonts w:ascii="Arial" w:hAnsi="Arial" w:cs="Arial"/>
        </w:rPr>
        <w:t xml:space="preserve"> Chile and an increase in same-store sales of 4.8%, (iii) an increase of Ch$ 183,427 million resulting from an increase of 13.4% in sales in Argentina driven by the opening of 14 new stores in Argentina, an increase in same-stores sales in local currency o</w:t>
      </w:r>
      <w:r>
        <w:rPr>
          <w:rFonts w:ascii="Arial" w:hAnsi="Arial" w:cs="Arial"/>
        </w:rPr>
        <w:t xml:space="preserve">f 22.5%, explained partially by high inflation and offset in part by devaluation of the Argentinean Peso against the Chilean Peso and the closure of one store, and (iv) an increase of Ch$ 64,888 million resulting from an increase of 11.6% in sales in Peru </w:t>
      </w:r>
      <w:r>
        <w:rPr>
          <w:rFonts w:ascii="Arial" w:hAnsi="Arial" w:cs="Arial"/>
        </w:rPr>
        <w:t xml:space="preserve">driven by the openings of 10 new stores in Peru and an increase in same-stores sales in local currency of 6.5%. </w:t>
      </w:r>
    </w:p>
    <w:p w:rsidR="00000000" w:rsidRDefault="003E5AFF">
      <w:pPr>
        <w:pStyle w:val="NormalWeb"/>
        <w:spacing w:before="240" w:beforeAutospacing="0" w:after="0" w:afterAutospacing="0"/>
      </w:pPr>
      <w:r>
        <w:rPr>
          <w:rFonts w:ascii="Arial" w:hAnsi="Arial" w:cs="Arial"/>
          <w:i/>
          <w:iCs/>
        </w:rPr>
        <w:t xml:space="preserve">Home improvement stores </w:t>
      </w:r>
    </w:p>
    <w:p w:rsidR="00000000" w:rsidRDefault="003E5AFF">
      <w:pPr>
        <w:pStyle w:val="NormalWeb"/>
        <w:spacing w:before="120" w:beforeAutospacing="0" w:after="0" w:afterAutospacing="0"/>
      </w:pPr>
      <w:r>
        <w:rPr>
          <w:rFonts w:ascii="Arial" w:hAnsi="Arial" w:cs="Arial"/>
        </w:rPr>
        <w:t>Our consolidated revenues from ordinary activities from our home improvement stores increased 15.7% or Ch$128,803 mill</w:t>
      </w:r>
      <w:r>
        <w:rPr>
          <w:rFonts w:ascii="Arial" w:hAnsi="Arial" w:cs="Arial"/>
        </w:rPr>
        <w:t>ion, to Ch$948,641 million for the year ended December 31, 2011 from Ch$819,838 million for the same period in 2010, primarily due to (i) an increase of Ch$ 90,757 million resulting from an increase in revenues of 20.1% in Argentina driven by an increase i</w:t>
      </w:r>
      <w:r>
        <w:rPr>
          <w:rFonts w:ascii="Arial" w:hAnsi="Arial" w:cs="Arial"/>
        </w:rPr>
        <w:t>n same-store sales in local currency of 31.1% driven by inflation, partially offset by the closure of one store and by the devaluation of the Chilean Peso against the Argentinian Peso, (ii) an increase of Ch$ 31,755 million resulting from an increase in re</w:t>
      </w:r>
      <w:r>
        <w:rPr>
          <w:rFonts w:ascii="Arial" w:hAnsi="Arial" w:cs="Arial"/>
        </w:rPr>
        <w:t>venues of 9.5% in Chile driven by an increase in same-store sales in local currency of 4.9% and an increase in sales from stores operating for less than one year and opened in 2010, and (iii) an increase of Ch$ 6,291 million resulting from an increase in r</w:t>
      </w:r>
      <w:r>
        <w:rPr>
          <w:rFonts w:ascii="Arial" w:hAnsi="Arial" w:cs="Arial"/>
        </w:rPr>
        <w:t xml:space="preserve">evenues of 19.0% in Colombia driven by an increase in same stores sales in local currency of 11.8%, partially offset by devaluation of the Chilean Peso against the Colombian Peso. </w:t>
      </w:r>
    </w:p>
    <w:p w:rsidR="00000000" w:rsidRDefault="003E5AFF">
      <w:pPr>
        <w:pStyle w:val="NormalWeb"/>
        <w:spacing w:before="24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 xml:space="preserve">Our consolidated revenues from ordinary activities from </w:t>
      </w:r>
      <w:r>
        <w:rPr>
          <w:rFonts w:ascii="Arial" w:hAnsi="Arial" w:cs="Arial"/>
        </w:rPr>
        <w:t>our department stores in Chile increased 10.9%, or Ch$68,054 million, to Ch$690,772 million for the year ended December 31, 2011 from Ch$622,719 million for the same period in 2010, primarily due to an increase in same stores sales of 5.4% and one new stor</w:t>
      </w:r>
      <w:r>
        <w:rPr>
          <w:rFonts w:ascii="Arial" w:hAnsi="Arial" w:cs="Arial"/>
        </w:rPr>
        <w:t xml:space="preserve">e opening. </w:t>
      </w:r>
    </w:p>
    <w:p w:rsidR="00000000" w:rsidRDefault="003E5AFF">
      <w:pPr>
        <w:pStyle w:val="NormalWeb"/>
        <w:spacing w:before="24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 xml:space="preserve">Our consolidated revenues from ordinary activities from our shopping centers increased 10.9%, or Ch$12,736 million, to Ch$129,727 million for the year ended December 31, 2011 from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- 131 - </w:t>
      </w:r>
    </w:p>
    <w:p w:rsidR="00000000" w:rsidRDefault="003E5AFF">
      <w:pPr>
        <w:rPr>
          <w:rFonts w:eastAsia="Times New Roman" w:cs="Times New Roman"/>
        </w:rPr>
      </w:pPr>
      <w:r>
        <w:rPr>
          <w:rFonts w:eastAsia="Times New Roman" w:cs="Times New Roman"/>
        </w:rPr>
        <w:pict>
          <v:rect id="_x0000_i1165" style="width:441.9pt;height:3pt" o:hralign="center" o:hrstd="t" o:hrnoshade="t" o:hr="t" fillcolor="#999" stroked="f"/>
        </w:pict>
      </w:r>
    </w:p>
    <w:p w:rsidR="00000000" w:rsidRDefault="003E5AFF">
      <w:pPr>
        <w:pStyle w:val="Heading5"/>
        <w:rPr>
          <w:rFonts w:eastAsia="Times New Roman" w:cs="Times New Roman"/>
        </w:rPr>
      </w:pPr>
      <w:hyperlink r:id="rId18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Ch$116,991 million for the same period in 2010, primarily due to: (i) an increase of Ch$ 9,649 mill</w:t>
      </w:r>
      <w:r>
        <w:rPr>
          <w:rFonts w:ascii="Arial" w:hAnsi="Arial" w:cs="Arial"/>
        </w:rPr>
        <w:t>ion resulting from growth in revenues of 17.6% in Chile due to an increase in selling space of 3.2%, and (ii) an increase of Ch$ 6,325 million resulting from growth in revenues of 11.9% in Argentina due to an increase in selling space of 6.3%. This increas</w:t>
      </w:r>
      <w:r>
        <w:rPr>
          <w:rFonts w:ascii="Arial" w:hAnsi="Arial" w:cs="Arial"/>
        </w:rPr>
        <w:t xml:space="preserve">e was partially offset by a decrease of Ch$ 3,237 million resulting from a decrease in revenues of 36.8% in Peru driven by the devaluation of the Peruvian currency. </w:t>
      </w:r>
    </w:p>
    <w:p w:rsidR="00000000" w:rsidRDefault="003E5AFF">
      <w:pPr>
        <w:pStyle w:val="NormalWeb"/>
        <w:spacing w:before="240" w:beforeAutospacing="0" w:after="0" w:afterAutospacing="0"/>
      </w:pPr>
      <w:r>
        <w:rPr>
          <w:rFonts w:ascii="Arial" w:hAnsi="Arial" w:cs="Arial"/>
          <w:i/>
          <w:iCs/>
        </w:rPr>
        <w:t xml:space="preserve">Financial services </w:t>
      </w:r>
    </w:p>
    <w:p w:rsidR="00000000" w:rsidRDefault="003E5AFF">
      <w:pPr>
        <w:pStyle w:val="NormalWeb"/>
        <w:spacing w:before="120" w:beforeAutospacing="0" w:after="0" w:afterAutospacing="0"/>
      </w:pPr>
      <w:r>
        <w:rPr>
          <w:rFonts w:ascii="Arial" w:hAnsi="Arial" w:cs="Arial"/>
        </w:rPr>
        <w:t xml:space="preserve">Our consolidated revenues from ordinary activities from our financial </w:t>
      </w:r>
      <w:r>
        <w:rPr>
          <w:rFonts w:ascii="Arial" w:hAnsi="Arial" w:cs="Arial"/>
        </w:rPr>
        <w:t>services segment increased 21.2%, or Ch$46,864 million, to Ch$267,874 million for the year ended December 31, 2011 from Ch$221,010 million for the same period in 2010, as a result of (i) an increase of Ch$ 22,833 million resulting from an increase in reven</w:t>
      </w:r>
      <w:r>
        <w:rPr>
          <w:rFonts w:ascii="Arial" w:hAnsi="Arial" w:cs="Arial"/>
        </w:rPr>
        <w:t>ues of 11.4% in Chile driven by a larger loan portfolio as a result of improving economic conditions, (ii) an increase of Ch$ 19,262 million resulting from an increase in revenues of 152.2% in Argentina driven by a larger loan portfolio that almost doubled</w:t>
      </w:r>
      <w:r>
        <w:rPr>
          <w:rFonts w:ascii="Arial" w:hAnsi="Arial" w:cs="Arial"/>
        </w:rPr>
        <w:t xml:space="preserve"> due to higher card usage, and (iii) an increase of Ch$ 5,888 million resulting from an increase in revenues of 206.4% in Peru driven by the start-up of our own local credit card. This increase was partially offset by the revaluation of the Chilean peso ag</w:t>
      </w:r>
      <w:r>
        <w:rPr>
          <w:rFonts w:ascii="Arial" w:hAnsi="Arial" w:cs="Arial"/>
        </w:rPr>
        <w:t xml:space="preserve">ainst the Argentinean peso and Peruvian Soles. </w:t>
      </w:r>
    </w:p>
    <w:p w:rsidR="00000000" w:rsidRDefault="003E5AFF">
      <w:pPr>
        <w:pStyle w:val="NormalWeb"/>
        <w:spacing w:before="240" w:beforeAutospacing="0" w:after="0" w:afterAutospacing="0"/>
      </w:pPr>
      <w:r>
        <w:rPr>
          <w:rFonts w:ascii="Arial" w:hAnsi="Arial" w:cs="Arial"/>
          <w:b/>
          <w:bCs/>
          <w:i/>
          <w:iCs/>
        </w:rPr>
        <w:t xml:space="preserve">Cost of sales </w:t>
      </w:r>
    </w:p>
    <w:p w:rsidR="00000000" w:rsidRDefault="003E5AFF">
      <w:pPr>
        <w:pStyle w:val="NormalWeb"/>
        <w:spacing w:before="120" w:beforeAutospacing="0" w:after="0" w:afterAutospacing="0"/>
      </w:pPr>
      <w:r>
        <w:rPr>
          <w:rFonts w:ascii="Arial" w:hAnsi="Arial" w:cs="Arial"/>
        </w:rPr>
        <w:t>Our consolidated cost of sales increased 21.9%, or Ch$977,688 million, to Ch$5,434,917 million for the year ended December 31, 2011 from Ch$4,457,229 million for the same period in 2011, primar</w:t>
      </w:r>
      <w:r>
        <w:rPr>
          <w:rFonts w:ascii="Arial" w:hAnsi="Arial" w:cs="Arial"/>
        </w:rPr>
        <w:t xml:space="preserve">ily due to an increase in sales of 21.9%. Cost of sales as a percentage of sales remained unchanged at 71.5% for both years ended December 31, 2011 and 2010.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Our consolidated cost of sales in our supermarkets increased 24.5%, or Ch$821,869 m</w:t>
      </w:r>
      <w:r>
        <w:rPr>
          <w:rFonts w:ascii="Arial" w:hAnsi="Arial" w:cs="Arial"/>
        </w:rPr>
        <w:t>illion, to Ch$4,177,664 million for the year ended December 31, 2011 from Ch$3,355,796 million for the same period in 2010. Costs as percentage of sales decreased by 0.2%, primarily due to (i) an increase of cost of sales in Brazil of Ch$542,578 million re</w:t>
      </w:r>
      <w:r>
        <w:rPr>
          <w:rFonts w:ascii="Arial" w:hAnsi="Arial" w:cs="Arial"/>
        </w:rPr>
        <w:t>sulting from an increase of 84.1% in sales in Brazil and lower cost of sales over sales of 0.9%, due to the consolidation of Bretas into our operations (which contributed Ch$491,080 to the increase in costs of sales), which allowed us to negotiate better t</w:t>
      </w:r>
      <w:r>
        <w:rPr>
          <w:rFonts w:ascii="Arial" w:hAnsi="Arial" w:cs="Arial"/>
        </w:rPr>
        <w:t xml:space="preserve">erms with our suppliers in Brazil, (ii) an increase of Ch$112,060 million resulting from an increase of 8.7% in sales in Chile while cost of sales over sales remained relatively unchanged, (iii) an increase of Ch$117,033 million resulting from an increase </w:t>
      </w:r>
      <w:r>
        <w:rPr>
          <w:rFonts w:ascii="Arial" w:hAnsi="Arial" w:cs="Arial"/>
        </w:rPr>
        <w:t xml:space="preserve">of 13.4% in sales in Argentina and lower cost of sales over sales of 1.0%, due to inflation and better terms resulting from negotiations with our suppliers, and (iv) an increase of Ch$50,198 million resulting from an increase of 11.6% in sales in Peru and </w:t>
      </w:r>
      <w:r>
        <w:rPr>
          <w:rFonts w:ascii="Arial" w:hAnsi="Arial" w:cs="Arial"/>
        </w:rPr>
        <w:t xml:space="preserve">higher cost of sales over sales of 0.2%. </w:t>
      </w:r>
    </w:p>
    <w:p w:rsidR="00000000" w:rsidRDefault="003E5AFF">
      <w:pPr>
        <w:pStyle w:val="NormalWeb"/>
        <w:spacing w:before="240" w:beforeAutospacing="0" w:after="0" w:afterAutospacing="0"/>
      </w:pPr>
      <w:r>
        <w:rPr>
          <w:rFonts w:ascii="Arial" w:hAnsi="Arial" w:cs="Arial"/>
          <w:i/>
          <w:iCs/>
        </w:rPr>
        <w:t xml:space="preserve">Home improvement stores </w:t>
      </w:r>
    </w:p>
    <w:p w:rsidR="00000000" w:rsidRDefault="003E5AFF">
      <w:pPr>
        <w:pStyle w:val="NormalWeb"/>
        <w:spacing w:before="120" w:beforeAutospacing="0" w:after="0" w:afterAutospacing="0"/>
      </w:pPr>
      <w:r>
        <w:rPr>
          <w:rFonts w:ascii="Arial" w:hAnsi="Arial" w:cs="Arial"/>
        </w:rPr>
        <w:t>Our consolidated cost of sales in home improvement stores increased 15.4%, or Ch$86,332 million, to Ch$647,337 million for the year ended December </w:t>
      </w:r>
      <w:r>
        <w:rPr>
          <w:rFonts w:ascii="Arial" w:hAnsi="Arial" w:cs="Arial"/>
        </w:rPr>
        <w:t>31, 2011 from Ch$561,006 million for the same period in 2010, primarily due to (i) an increase of cost of sales in Chile of Ch$25,290 million resulting from an increase of 9.5% in sales and higher cost of sales over sales of 0.7% due to the extraordinary e</w:t>
      </w:r>
      <w:r>
        <w:rPr>
          <w:rFonts w:ascii="Arial" w:hAnsi="Arial" w:cs="Arial"/>
        </w:rPr>
        <w:t xml:space="preserve">vents of 2010, namely the February 2010 earthquake and tsunami in Chile which increases sales and allowed us to negotiate better terms with our suppliers and (ii) an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- 132 - </w:t>
      </w:r>
    </w:p>
    <w:p w:rsidR="00000000" w:rsidRDefault="003E5AFF">
      <w:pPr>
        <w:rPr>
          <w:rFonts w:eastAsia="Times New Roman" w:cs="Times New Roman"/>
        </w:rPr>
      </w:pPr>
      <w:r>
        <w:rPr>
          <w:rFonts w:eastAsia="Times New Roman" w:cs="Times New Roman"/>
        </w:rPr>
        <w:pict>
          <v:rect id="_x0000_i1166" style="width:441.9pt;height:3pt" o:hralign="center" o:hrstd="t" o:hrnoshade="t" o:hr="t" fillcolor="#999" stroked="f"/>
        </w:pict>
      </w:r>
    </w:p>
    <w:p w:rsidR="00000000" w:rsidRDefault="003E5AFF">
      <w:pPr>
        <w:pStyle w:val="Heading5"/>
        <w:rPr>
          <w:rFonts w:eastAsia="Times New Roman" w:cs="Times New Roman"/>
        </w:rPr>
      </w:pPr>
      <w:hyperlink r:id="rId18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increase of cost of sales in Argentina of Ch$55,584 million resulting from an increase of 20.1% in sales and lower cost of sales over sales of 0.8% due to better terms resulti</w:t>
      </w:r>
      <w:r>
        <w:rPr>
          <w:rFonts w:ascii="Arial" w:hAnsi="Arial" w:cs="Arial"/>
        </w:rPr>
        <w:t>ng from negotiations with our suppliers. Costs as percentage of sales decreased by 0.2% primarily because our Argentine operations, which have lower cost of sales as percentage of sales as compared to Chile, represented a higher percentage of our home impr</w:t>
      </w:r>
      <w:r>
        <w:rPr>
          <w:rFonts w:ascii="Arial" w:hAnsi="Arial" w:cs="Arial"/>
        </w:rPr>
        <w:t xml:space="preserve">ovement sales than in the prior period, increasing from 55.0% of total home improvement stores segment revenues in 2010 to 57.1% of the total revenues of the home improvement stores segment in 2011. </w:t>
      </w:r>
    </w:p>
    <w:p w:rsidR="00000000" w:rsidRDefault="003E5AFF">
      <w:pPr>
        <w:pStyle w:val="NormalWeb"/>
        <w:spacing w:before="24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Our consolidated cost of sales in our</w:t>
      </w:r>
      <w:r>
        <w:rPr>
          <w:rFonts w:ascii="Arial" w:hAnsi="Arial" w:cs="Arial"/>
        </w:rPr>
        <w:t xml:space="preserve"> department stores in Chile increased 11. 8%, or Ch$52,644 million, to Ch$499,413 million for the year ended December 31, 2011 from Ch$446,769 million for the same period in 2010, primarily due to higher sales of 10.9% as a result of an increase in same st</w:t>
      </w:r>
      <w:r>
        <w:rPr>
          <w:rFonts w:ascii="Arial" w:hAnsi="Arial" w:cs="Arial"/>
        </w:rPr>
        <w:t>ores sales of 5.4% and one new store openings. Costs as percentage of sales increased by 0.6% primarily due to promotions and discounts offered in 2011 with respect to locally sourced and imported goods to compensate in part for the increase in sales in 20</w:t>
      </w:r>
      <w:r>
        <w:rPr>
          <w:rFonts w:ascii="Arial" w:hAnsi="Arial" w:cs="Arial"/>
        </w:rPr>
        <w:t xml:space="preserve">10, which was driven by the extraordinary events of 2010, namely the February 2010 earthquake and tsunami in Chile and the Soccer World Cup. </w:t>
      </w:r>
    </w:p>
    <w:p w:rsidR="00000000" w:rsidRDefault="003E5AFF">
      <w:pPr>
        <w:pStyle w:val="NormalWeb"/>
        <w:spacing w:before="24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Our consolidated cost of sales, primarily depreciation and expenses, from our shopping centers i</w:t>
      </w:r>
      <w:r>
        <w:rPr>
          <w:rFonts w:ascii="Arial" w:hAnsi="Arial" w:cs="Arial"/>
        </w:rPr>
        <w:t>ncreased 8.9%, or Ch$1,591 million, to Ch$19,449 million for the year ended December 31, 2011 from Ch$17,858 million for the same period in 2010, primarily due to an increase in cost of sales of Ch$2,750 million in Argentina due to an increase in cost of s</w:t>
      </w:r>
      <w:r>
        <w:rPr>
          <w:rFonts w:ascii="Arial" w:hAnsi="Arial" w:cs="Arial"/>
        </w:rPr>
        <w:t xml:space="preserve">ales of 25.4% as a result of inflation, partially offset by a decrease of Ch$1.343 million in Peru due to a 63.4% decrease in cost of sales resulting from the reclassification of certain assets between our shopping center and supermarket operations. </w:t>
      </w:r>
    </w:p>
    <w:p w:rsidR="00000000" w:rsidRDefault="003E5AFF">
      <w:pPr>
        <w:pStyle w:val="NormalWeb"/>
        <w:spacing w:before="240" w:beforeAutospacing="0" w:after="0" w:afterAutospacing="0"/>
      </w:pPr>
      <w:r>
        <w:rPr>
          <w:rFonts w:ascii="Arial" w:hAnsi="Arial" w:cs="Arial"/>
          <w:i/>
          <w:iCs/>
        </w:rPr>
        <w:t>Finan</w:t>
      </w:r>
      <w:r>
        <w:rPr>
          <w:rFonts w:ascii="Arial" w:hAnsi="Arial" w:cs="Arial"/>
          <w:i/>
          <w:iCs/>
        </w:rPr>
        <w:t xml:space="preserve">cial services </w:t>
      </w:r>
    </w:p>
    <w:p w:rsidR="00000000" w:rsidRDefault="003E5AFF">
      <w:pPr>
        <w:pStyle w:val="NormalWeb"/>
        <w:spacing w:before="120" w:beforeAutospacing="0" w:after="0" w:afterAutospacing="0"/>
      </w:pPr>
      <w:r>
        <w:rPr>
          <w:rFonts w:ascii="Arial" w:hAnsi="Arial" w:cs="Arial"/>
        </w:rPr>
        <w:t>Our consolidated cost of sales, primarily provisions for bad debts and collection and processing costs, from our financial services division increased 21.5%, or Ch$15,174 million, to Ch$85,632 million for the year ended December </w:t>
      </w:r>
      <w:r>
        <w:rPr>
          <w:rFonts w:ascii="Arial" w:hAnsi="Arial" w:cs="Arial"/>
        </w:rPr>
        <w:t>31, 2011 from Ch$70,458 million for the same period in 2010, primarily due to (i) an increase of cost of sales in Chile of Ch$7,247 million resulting from an increase of 11.4% in sales due to larger loan portfolios driven by improving economic conditions a</w:t>
      </w:r>
      <w:r>
        <w:rPr>
          <w:rFonts w:ascii="Arial" w:hAnsi="Arial" w:cs="Arial"/>
        </w:rPr>
        <w:t>nd higher sales, (ii) an increase of cost of sales in Argentina of Ch$3,594 million resulting from an increase of 152.2% in sales and lower cost of sales over sales of 16.2% due to larger loan portfolios driven by higher sales, and (iii) an increase of cos</w:t>
      </w:r>
      <w:r>
        <w:rPr>
          <w:rFonts w:ascii="Arial" w:hAnsi="Arial" w:cs="Arial"/>
        </w:rPr>
        <w:t xml:space="preserve">t of sales in Peru of Ch$4,332 million resulting from an increase of 206.4% in sales and higher cost of sales over sales of 41.3% due to the start-up of our own local credit card. </w:t>
      </w:r>
    </w:p>
    <w:p w:rsidR="00000000" w:rsidRDefault="003E5AFF">
      <w:pPr>
        <w:pStyle w:val="NormalWeb"/>
        <w:spacing w:before="240" w:beforeAutospacing="0" w:after="0" w:afterAutospacing="0"/>
      </w:pPr>
      <w:r>
        <w:rPr>
          <w:rFonts w:ascii="Arial" w:hAnsi="Arial" w:cs="Arial"/>
          <w:b/>
          <w:bCs/>
          <w:i/>
          <w:iCs/>
        </w:rPr>
        <w:t xml:space="preserve">Gross margin </w:t>
      </w:r>
    </w:p>
    <w:p w:rsidR="00000000" w:rsidRDefault="003E5AFF">
      <w:pPr>
        <w:pStyle w:val="NormalWeb"/>
        <w:spacing w:before="120" w:beforeAutospacing="0" w:after="0" w:afterAutospacing="0"/>
      </w:pPr>
      <w:r>
        <w:rPr>
          <w:rFonts w:ascii="Arial" w:hAnsi="Arial" w:cs="Arial"/>
        </w:rPr>
        <w:t xml:space="preserve">Our consolidated gross margin increased 21.9%, or Ch$390,145 </w:t>
      </w:r>
      <w:r>
        <w:rPr>
          <w:rFonts w:ascii="Arial" w:hAnsi="Arial" w:cs="Arial"/>
        </w:rPr>
        <w:t>million, to Ch$2,169,890 million for the year ended December 31, 2011 from Ch$1,779,745 million for the same period in 2010, primarily due to (i) an increase of gross margin in Chile of Ch$83,749 million resulting from an increase of 9.7% in sales while gr</w:t>
      </w:r>
      <w:r>
        <w:rPr>
          <w:rFonts w:ascii="Arial" w:hAnsi="Arial" w:cs="Arial"/>
        </w:rPr>
        <w:t xml:space="preserve">oss margin over sales remained relatively unchanged, (ii) an increase of gross margin in Argentina of Ch$125,341 million resulting from an increase of 16.1%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- 133 - </w:t>
      </w:r>
    </w:p>
    <w:p w:rsidR="00000000" w:rsidRDefault="003E5AFF">
      <w:pPr>
        <w:rPr>
          <w:rFonts w:eastAsia="Times New Roman" w:cs="Times New Roman"/>
        </w:rPr>
      </w:pPr>
      <w:r>
        <w:rPr>
          <w:rFonts w:eastAsia="Times New Roman" w:cs="Times New Roman"/>
        </w:rPr>
        <w:pict>
          <v:rect id="_x0000_i1167" style="width:441.9pt;height:3pt" o:hralign="center" o:hrstd="t" o:hrnoshade="t" o:hr="t" fillcolor="#999" stroked="f"/>
        </w:pict>
      </w:r>
    </w:p>
    <w:p w:rsidR="00000000" w:rsidRDefault="003E5AFF">
      <w:pPr>
        <w:pStyle w:val="Heading5"/>
        <w:rPr>
          <w:rFonts w:eastAsia="Times New Roman" w:cs="Times New Roman"/>
        </w:rPr>
      </w:pPr>
      <w:hyperlink r:id="rId18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in sales and higher gross margin over sales of 1.4%, (iii) </w:t>
      </w:r>
      <w:r>
        <w:rPr>
          <w:rFonts w:ascii="Arial" w:hAnsi="Arial" w:cs="Arial"/>
        </w:rPr>
        <w:t>an increase of gross margin in Brazil of Ch$165,466 million resulting from an increase of 83.4% in sales and higher gross margin over sales of 0.6%, and (iv) an increase of gross margin in Peru of Ch$14,755 million resulting from an increase of 11.9% in sa</w:t>
      </w:r>
      <w:r>
        <w:rPr>
          <w:rFonts w:ascii="Arial" w:hAnsi="Arial" w:cs="Arial"/>
        </w:rPr>
        <w:t xml:space="preserve">les and lower gross margin over sales of 0.4%. </w:t>
      </w:r>
    </w:p>
    <w:p w:rsidR="00000000" w:rsidRDefault="003E5AFF">
      <w:pPr>
        <w:pStyle w:val="NormalWeb"/>
        <w:spacing w:before="120" w:beforeAutospacing="0" w:after="0" w:afterAutospacing="0"/>
      </w:pPr>
      <w:r>
        <w:rPr>
          <w:rFonts w:ascii="Arial" w:hAnsi="Arial" w:cs="Arial"/>
        </w:rPr>
        <w:t xml:space="preserve">Our consolidated gross margin as a percentage of revenues from ordinary activities remained unchanged at 28.5% for the year ended December 31, 2011 from 28.5% for the same period in 2010.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Our c</w:t>
      </w:r>
      <w:r>
        <w:rPr>
          <w:rFonts w:ascii="Arial" w:hAnsi="Arial" w:cs="Arial"/>
        </w:rPr>
        <w:t>onsolidated gross margin in our supermarkets increased 25.7%, or Ch$281.644 million, to Ch$1,378,607 million for the year ended December 31, 2011 from Ch$1,096,963 million for the same period in 2010, primarily due to (i) an increase of gross margin in Chi</w:t>
      </w:r>
      <w:r>
        <w:rPr>
          <w:rFonts w:ascii="Arial" w:hAnsi="Arial" w:cs="Arial"/>
        </w:rPr>
        <w:t xml:space="preserve">le of Ch$33,975 million resulting from an increase of 8.7% while gross margin over sales remained relatively unchanged, (ii) an increase of gross margin in Argentina of Ch$66,394 million resulting from an increase of 13.4% in sales and higher gross margin </w:t>
      </w:r>
      <w:r>
        <w:rPr>
          <w:rFonts w:ascii="Arial" w:hAnsi="Arial" w:cs="Arial"/>
        </w:rPr>
        <w:t>over sales of 1.0%, (iii) an increase of gross margin in Brazil of Ch$166,585 million resulting from an increase of 84.1% in sales, primarily from the consolidation of Bretas into our operations, which contributed Ch$132,665 to the increase in gross margin</w:t>
      </w:r>
      <w:r>
        <w:rPr>
          <w:rFonts w:ascii="Arial" w:hAnsi="Arial" w:cs="Arial"/>
        </w:rPr>
        <w:t>, and higher gross margin over sales of 0.9%, and (iv) an increase of gross margin in Peru of Ch$14,690 million resulting from an increase of 11.6% in sales and lower gross margin over sales of 0.2%. As a result of the foregoing factors, our consolidated g</w:t>
      </w:r>
      <w:r>
        <w:rPr>
          <w:rFonts w:ascii="Arial" w:hAnsi="Arial" w:cs="Arial"/>
        </w:rPr>
        <w:t xml:space="preserve">ross margin as a percentage of revenues from ordinary activities increased by 0.2% to 24.8% for the year ended December 31, 2011 from 24.6% for the same period in 2010. </w:t>
      </w:r>
    </w:p>
    <w:p w:rsidR="00000000" w:rsidRDefault="003E5AFF">
      <w:pPr>
        <w:pStyle w:val="NormalWeb"/>
        <w:spacing w:before="240" w:beforeAutospacing="0" w:after="0" w:afterAutospacing="0"/>
      </w:pPr>
      <w:r>
        <w:rPr>
          <w:rFonts w:ascii="Arial" w:hAnsi="Arial" w:cs="Arial"/>
          <w:i/>
          <w:iCs/>
        </w:rPr>
        <w:t xml:space="preserve">Home improvement stores </w:t>
      </w:r>
    </w:p>
    <w:p w:rsidR="00000000" w:rsidRDefault="003E5AFF">
      <w:pPr>
        <w:pStyle w:val="NormalWeb"/>
        <w:spacing w:before="120" w:beforeAutospacing="0" w:after="0" w:afterAutospacing="0"/>
      </w:pPr>
      <w:r>
        <w:rPr>
          <w:rFonts w:ascii="Arial" w:hAnsi="Arial" w:cs="Arial"/>
        </w:rPr>
        <w:t xml:space="preserve">Our consolidated gross margin in our home improvement stores </w:t>
      </w:r>
      <w:r>
        <w:rPr>
          <w:rFonts w:ascii="Arial" w:hAnsi="Arial" w:cs="Arial"/>
        </w:rPr>
        <w:t xml:space="preserve">increased 16.4%, or Ch$42,471 million, to Ch$301,303 million for the year ended December 31, 2011 from Ch$258,832 million for the same period in 2010, primarily due to (i) an increase of gross margin in Chile of Ch$6,465 million resulting from an increase </w:t>
      </w:r>
      <w:r>
        <w:rPr>
          <w:rFonts w:ascii="Arial" w:hAnsi="Arial" w:cs="Arial"/>
        </w:rPr>
        <w:t xml:space="preserve">of 9.5% in sales and lower gross margin over sales of 0.7%, and (ii) an increase of gross margin in Argentina of Ch$35,173 million resulting from an increase of 20.1% in sales and higher gross margin over sales of 0.8%. </w:t>
      </w:r>
    </w:p>
    <w:p w:rsidR="00000000" w:rsidRDefault="003E5AFF">
      <w:pPr>
        <w:pStyle w:val="NormalWeb"/>
        <w:spacing w:before="120" w:beforeAutospacing="0" w:after="0" w:afterAutospacing="0"/>
      </w:pPr>
      <w:r>
        <w:rPr>
          <w:rFonts w:ascii="Arial" w:hAnsi="Arial" w:cs="Arial"/>
        </w:rPr>
        <w:t>As a result of the foregoing factors, our consolidated gross margin as a percentage of revenues from ordinary activities in our home improvement stores increased by 0.2% to 31.8% during the year ended December 31, 2011 from 31.6% for the same period in 201</w:t>
      </w:r>
      <w:r>
        <w:rPr>
          <w:rFonts w:ascii="Arial" w:hAnsi="Arial" w:cs="Arial"/>
        </w:rPr>
        <w:t xml:space="preserve">0. </w:t>
      </w:r>
    </w:p>
    <w:p w:rsidR="00000000" w:rsidRDefault="003E5AFF">
      <w:pPr>
        <w:pStyle w:val="NormalWeb"/>
        <w:spacing w:before="24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Our consolidated gross margin in our department stores in Chile increased 8.8%, or Ch$15,409 million, to Ch$191,359 million for the year ended December 31, 2011 from Ch$175,950 million for the same period in 2010, primarily due to hi</w:t>
      </w:r>
      <w:r>
        <w:rPr>
          <w:rFonts w:ascii="Arial" w:hAnsi="Arial" w:cs="Arial"/>
        </w:rPr>
        <w:t xml:space="preserve">gher sales primarily due to an increase in same stores sales of 5.4% and one new store openings </w:t>
      </w:r>
    </w:p>
    <w:p w:rsidR="00000000" w:rsidRDefault="003E5AFF">
      <w:pPr>
        <w:pStyle w:val="NormalWeb"/>
        <w:spacing w:before="120" w:beforeAutospacing="0" w:after="0" w:afterAutospacing="0"/>
      </w:pPr>
      <w:r>
        <w:rPr>
          <w:rFonts w:ascii="Arial" w:hAnsi="Arial" w:cs="Arial"/>
        </w:rPr>
        <w:t xml:space="preserve">As a result of the foregoing factors, our consolidated gross margin as a percentage of revenues from ordinary activities in our department stores decreased by </w:t>
      </w:r>
      <w:r>
        <w:rPr>
          <w:rFonts w:ascii="Arial" w:hAnsi="Arial" w:cs="Arial"/>
        </w:rPr>
        <w:t xml:space="preserve">0.6% to 27.7% for the year ended December 31, 2011 from 28.3% for the same period in 2010.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- 134 - </w:t>
      </w:r>
    </w:p>
    <w:p w:rsidR="00000000" w:rsidRDefault="003E5AFF">
      <w:pPr>
        <w:rPr>
          <w:rFonts w:eastAsia="Times New Roman" w:cs="Times New Roman"/>
        </w:rPr>
      </w:pPr>
      <w:r>
        <w:rPr>
          <w:rFonts w:eastAsia="Times New Roman" w:cs="Times New Roman"/>
        </w:rPr>
        <w:pict>
          <v:rect id="_x0000_i1168" style="width:441.9pt;height:3pt" o:hralign="center" o:hrstd="t" o:hrnoshade="t" o:hr="t" fillcolor="#999" stroked="f"/>
        </w:pict>
      </w:r>
    </w:p>
    <w:p w:rsidR="00000000" w:rsidRDefault="003E5AFF">
      <w:pPr>
        <w:pStyle w:val="Heading5"/>
        <w:rPr>
          <w:rFonts w:eastAsia="Times New Roman" w:cs="Times New Roman"/>
        </w:rPr>
      </w:pPr>
      <w:hyperlink r:id="rId18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Our c</w:t>
      </w:r>
      <w:r>
        <w:rPr>
          <w:rFonts w:ascii="Arial" w:hAnsi="Arial" w:cs="Arial"/>
        </w:rPr>
        <w:t>onsolidated gross margin in our shopping centers increased 11.2%, or Ch$11,145 million, to Ch$110,278 million for the year ended December 31, 2011 from Ch$99,133 million for the same period in 2010, primarily due to (i) an increase of gross margin in Chile</w:t>
      </w:r>
      <w:r>
        <w:rPr>
          <w:rFonts w:ascii="Arial" w:hAnsi="Arial" w:cs="Arial"/>
        </w:rPr>
        <w:t xml:space="preserve"> of Ch$9,465 million resulting from an increase of 17.6% in sales and higher gross margin over sales of 1.1%, (ii) an increase of gross margin in Argentina of Ch$3,574 million resulting from an increase of 11.9% in sales and lower gross margin over sales o</w:t>
      </w:r>
      <w:r>
        <w:rPr>
          <w:rFonts w:ascii="Arial" w:hAnsi="Arial" w:cs="Arial"/>
        </w:rPr>
        <w:t xml:space="preserve">f 2.5%, and (iii) a decrease of gross margin in Peru of Ch$1,894 million resulting from a decrease of 36.8% in sales and due to higher gross margin over sales of 10.1%. </w:t>
      </w:r>
    </w:p>
    <w:p w:rsidR="00000000" w:rsidRDefault="003E5AFF">
      <w:pPr>
        <w:pStyle w:val="NormalWeb"/>
        <w:spacing w:before="120" w:beforeAutospacing="0" w:after="0" w:afterAutospacing="0"/>
      </w:pPr>
      <w:r>
        <w:rPr>
          <w:rFonts w:ascii="Arial" w:hAnsi="Arial" w:cs="Arial"/>
        </w:rPr>
        <w:t>As a result of the foregoing factors, our consolidated gross margin as a percentage of</w:t>
      </w:r>
      <w:r>
        <w:rPr>
          <w:rFonts w:ascii="Arial" w:hAnsi="Arial" w:cs="Arial"/>
        </w:rPr>
        <w:t xml:space="preserve"> revenues from ordinary activities in our shopping centers increased to 85.0% for the year ended December 31, 2011 from 84.7% for the same period in 2010. </w:t>
      </w:r>
    </w:p>
    <w:p w:rsidR="00000000" w:rsidRDefault="003E5AFF">
      <w:pPr>
        <w:pStyle w:val="NormalWeb"/>
        <w:spacing w:before="240" w:beforeAutospacing="0" w:after="0" w:afterAutospacing="0"/>
      </w:pPr>
      <w:r>
        <w:rPr>
          <w:rFonts w:ascii="Arial" w:hAnsi="Arial" w:cs="Arial"/>
          <w:i/>
          <w:iCs/>
        </w:rPr>
        <w:t xml:space="preserve">Financial services </w:t>
      </w:r>
    </w:p>
    <w:p w:rsidR="00000000" w:rsidRDefault="003E5AFF">
      <w:pPr>
        <w:pStyle w:val="NormalWeb"/>
        <w:spacing w:before="120" w:beforeAutospacing="0" w:after="0" w:afterAutospacing="0"/>
      </w:pPr>
      <w:r>
        <w:rPr>
          <w:rFonts w:ascii="Arial" w:hAnsi="Arial" w:cs="Arial"/>
        </w:rPr>
        <w:t>Our consolidated gross margin in our financial services segment increased 21.0%,</w:t>
      </w:r>
      <w:r>
        <w:rPr>
          <w:rFonts w:ascii="Arial" w:hAnsi="Arial" w:cs="Arial"/>
        </w:rPr>
        <w:t xml:space="preserve"> or Ch$31,690 million, to Ch$182,242 million for the year ended December 31, 2011 from Ch$150,552 million for the same period in 2010, as a result of to (i) an increase of gross margin in Chile of Ch$15,586 million resulting from an increase of 11.4% in sa</w:t>
      </w:r>
      <w:r>
        <w:rPr>
          <w:rFonts w:ascii="Arial" w:hAnsi="Arial" w:cs="Arial"/>
        </w:rPr>
        <w:t>les, (ii) an increase of gross margin in Argentina of Ch$15,667 million resulting from an increase of 152.2% in sales and higher gross margin over sales of 16.2%, (iii) an increase of gross margin in Peru of Ch$1,556 million resulting from an increase of 2</w:t>
      </w:r>
      <w:r>
        <w:rPr>
          <w:rFonts w:ascii="Arial" w:hAnsi="Arial" w:cs="Arial"/>
        </w:rPr>
        <w:t xml:space="preserve">06.4% in sales and lower gross margin over sales of 41.3%. </w:t>
      </w:r>
    </w:p>
    <w:p w:rsidR="00000000" w:rsidRDefault="003E5AFF">
      <w:pPr>
        <w:pStyle w:val="NormalWeb"/>
        <w:spacing w:before="240" w:beforeAutospacing="0" w:after="0" w:afterAutospacing="0"/>
      </w:pPr>
      <w:r>
        <w:rPr>
          <w:rFonts w:ascii="Arial" w:hAnsi="Arial" w:cs="Arial"/>
          <w:b/>
          <w:bCs/>
          <w:i/>
          <w:iCs/>
        </w:rPr>
        <w:t xml:space="preserve">Other revenues by function </w:t>
      </w:r>
    </w:p>
    <w:p w:rsidR="00000000" w:rsidRDefault="003E5AFF">
      <w:pPr>
        <w:pStyle w:val="NormalWeb"/>
        <w:spacing w:before="120" w:beforeAutospacing="0" w:after="0" w:afterAutospacing="0"/>
      </w:pPr>
      <w:r>
        <w:rPr>
          <w:rFonts w:ascii="Arial" w:hAnsi="Arial" w:cs="Arial"/>
        </w:rPr>
        <w:t>Our consolidated other revenues by function increased by Ch$41,257 million, to Ch$85,128 million for the year ended December 31, 2011 from Ch$43,871 million for the sam</w:t>
      </w:r>
      <w:r>
        <w:rPr>
          <w:rFonts w:ascii="Arial" w:hAnsi="Arial" w:cs="Arial"/>
        </w:rPr>
        <w:t>e period in 2010, as a result of an increase in the fair value of investment properties in our shopping centers and land located in Chile, Argentina and Peru. The increase in fair value of investment properties Is due primarily to two factors: (i) inflatio</w:t>
      </w:r>
      <w:r>
        <w:rPr>
          <w:rFonts w:ascii="Arial" w:hAnsi="Arial" w:cs="Arial"/>
        </w:rPr>
        <w:t>n, as revenues are positively affected by inflation, (ii) higher fair values from the new shopping center Trellew in Argentina that opened with higher occupancy rates and had higher revenues than originally forecasted, (iii) higher gross leasable area (GLA</w:t>
      </w:r>
      <w:r>
        <w:rPr>
          <w:rFonts w:ascii="Arial" w:hAnsi="Arial" w:cs="Arial"/>
        </w:rPr>
        <w:t xml:space="preserve">) in the Palermo Shopping in Argentina, and (iv) improved revenues associated with the growth, maturity and lower vacancy rates of our shopping centers_ operations in general. </w:t>
      </w:r>
    </w:p>
    <w:p w:rsidR="00000000" w:rsidRDefault="003E5AFF">
      <w:pPr>
        <w:pStyle w:val="NormalWeb"/>
        <w:spacing w:before="240" w:beforeAutospacing="0" w:after="0" w:afterAutospacing="0"/>
      </w:pPr>
      <w:r>
        <w:rPr>
          <w:rFonts w:ascii="Arial" w:hAnsi="Arial" w:cs="Arial"/>
          <w:b/>
          <w:bCs/>
          <w:i/>
          <w:iCs/>
        </w:rPr>
        <w:t xml:space="preserve">Administrative expenses, distribution costs and other expenses </w:t>
      </w:r>
    </w:p>
    <w:p w:rsidR="00000000" w:rsidRDefault="003E5AFF">
      <w:pPr>
        <w:pStyle w:val="NormalWeb"/>
        <w:spacing w:before="120" w:beforeAutospacing="0" w:after="0" w:afterAutospacing="0"/>
      </w:pPr>
      <w:r>
        <w:rPr>
          <w:rFonts w:ascii="Arial" w:hAnsi="Arial" w:cs="Arial"/>
        </w:rPr>
        <w:t>Our consolidate</w:t>
      </w:r>
      <w:r>
        <w:rPr>
          <w:rFonts w:ascii="Arial" w:hAnsi="Arial" w:cs="Arial"/>
        </w:rPr>
        <w:t>d administrative expenses, distribution costs and other expenses increased 21.8%, or Ch$298,300 million, to Ch$1,669,374 million for the year ended December 31, 2011 from Ch$1,371,074 million for the same period in 2010, in line with higher revenues from o</w:t>
      </w:r>
      <w:r>
        <w:rPr>
          <w:rFonts w:ascii="Arial" w:hAnsi="Arial" w:cs="Arial"/>
        </w:rPr>
        <w:t xml:space="preserve">rdinary activities of 21.9%. </w:t>
      </w:r>
    </w:p>
    <w:p w:rsidR="00000000" w:rsidRDefault="003E5AFF">
      <w:pPr>
        <w:pStyle w:val="NormalWeb"/>
        <w:spacing w:before="120" w:beforeAutospacing="0" w:after="0" w:afterAutospacing="0"/>
      </w:pPr>
      <w:r>
        <w:rPr>
          <w:rFonts w:ascii="Arial" w:hAnsi="Arial" w:cs="Arial"/>
        </w:rPr>
        <w:t xml:space="preserve">As a percentage of revenues from ordinary activities, our consolidated administrative expenses, distribution costs and other expenses remained virtually unchanged at 22.0% for both years ended December 31, 2011 and 2010.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w:t>
      </w:r>
      <w:r>
        <w:rPr>
          <w:rFonts w:ascii="Arial" w:hAnsi="Arial" w:cs="Arial"/>
        </w:rPr>
        <w:t xml:space="preserve">135 - </w:t>
      </w:r>
    </w:p>
    <w:p w:rsidR="00000000" w:rsidRDefault="003E5AFF">
      <w:pPr>
        <w:rPr>
          <w:rFonts w:eastAsia="Times New Roman" w:cs="Times New Roman"/>
        </w:rPr>
      </w:pPr>
      <w:r>
        <w:rPr>
          <w:rFonts w:eastAsia="Times New Roman" w:cs="Times New Roman"/>
        </w:rPr>
        <w:pict>
          <v:rect id="_x0000_i1169" style="width:441.9pt;height:3pt" o:hralign="center" o:hrstd="t" o:hrnoshade="t" o:hr="t" fillcolor="#999" stroked="f"/>
        </w:pict>
      </w:r>
    </w:p>
    <w:p w:rsidR="00000000" w:rsidRDefault="003E5AFF">
      <w:pPr>
        <w:pStyle w:val="Heading5"/>
        <w:rPr>
          <w:rFonts w:eastAsia="Times New Roman" w:cs="Times New Roman"/>
        </w:rPr>
      </w:pPr>
      <w:hyperlink r:id="rId18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Results from financial and other activities </w:t>
      </w:r>
    </w:p>
    <w:p w:rsidR="00000000" w:rsidRDefault="003E5AFF">
      <w:pPr>
        <w:pStyle w:val="NormalWeb"/>
        <w:spacing w:before="120" w:beforeAutospacing="0" w:after="0" w:afterAutospacing="0"/>
      </w:pPr>
      <w:r>
        <w:rPr>
          <w:rFonts w:ascii="Arial" w:hAnsi="Arial" w:cs="Arial"/>
        </w:rPr>
        <w:t>The following tabl</w:t>
      </w:r>
      <w:r>
        <w:rPr>
          <w:rFonts w:ascii="Arial" w:hAnsi="Arial" w:cs="Arial"/>
        </w:rPr>
        <w:t xml:space="preserve">e presents, for the periods indicated, a breakdown of our consolidated results from financial, tax and other activities, as well as the percentage variation from period to period: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735"/>
        <w:gridCol w:w="344"/>
        <w:gridCol w:w="367"/>
        <w:gridCol w:w="790"/>
        <w:gridCol w:w="123"/>
        <w:gridCol w:w="344"/>
        <w:gridCol w:w="367"/>
        <w:gridCol w:w="679"/>
        <w:gridCol w:w="123"/>
        <w:gridCol w:w="344"/>
        <w:gridCol w:w="68"/>
        <w:gridCol w:w="899"/>
        <w:gridCol w:w="123"/>
      </w:tblGrid>
      <w:tr w:rsidR="00000000">
        <w:trPr>
          <w:jc w:val="center"/>
        </w:trPr>
        <w:tc>
          <w:tcPr>
            <w:tcW w:w="3250" w:type="pct"/>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Change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Other earnings (losses)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10,772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16,922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(144,136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(86,730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(Losses)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(31,289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 gains (losses) from financial and other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(173,441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rPr>
        <w:t>Our consolidated losses from financial and other activities increased by Ch$96,696 million, to a loss of Ch$173,441 million for the year ended December 31, 2011 from a loss of Ch$76,745 million for the same period in 2010. This increase was primarily due t</w:t>
      </w:r>
      <w:r>
        <w:rPr>
          <w:rFonts w:ascii="Arial" w:hAnsi="Arial" w:cs="Arial"/>
        </w:rPr>
        <w:t xml:space="preserve">o the following factors: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decrease in exchange differences of Ch$7,823 million, resulting in a loss of Ch$9,876 million for the year ended December 31, 2011 from a loss of Ch$2,053 </w:t>
            </w:r>
            <w:r>
              <w:rPr>
                <w:rFonts w:ascii="Arial" w:hAnsi="Arial" w:cs="Arial"/>
              </w:rPr>
              <w:t xml:space="preserve">million for the same period in 2010, as a result of the devaluation of local currencies against U.S. dollar;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An increase in financial expenses of Ch$57,406 million, resulting in a loss of Ch$144,136 million for the year ended December 31, 201</w:t>
            </w:r>
            <w:r>
              <w:rPr>
                <w:rFonts w:ascii="Arial" w:hAnsi="Arial" w:cs="Arial"/>
              </w:rPr>
              <w:t xml:space="preserve">1 compared to Ch$86,730 million for the same period in 2010, as a result of less cash on hand, higher financial debt used to fund the growth of the company and higher variable interest rates, partially offset by the gains from hedging positions associated </w:t>
            </w:r>
            <w:r>
              <w:rPr>
                <w:rFonts w:ascii="Arial" w:hAnsi="Arial" w:cs="Arial"/>
              </w:rPr>
              <w:t xml:space="preserve">with the 144A/Reg-S Bond (as defined below);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decrease in other earnings of Ch$9,897 million to Ch$875 million for the year ended December 31, 2011, compared to Ch$10,772 million for the same period </w:t>
            </w:r>
            <w:r>
              <w:rPr>
                <w:rFonts w:ascii="Arial" w:hAnsi="Arial" w:cs="Arial"/>
              </w:rPr>
              <w:t>in 2010. This result was primarily due to losses in the amount of Ch$18,768 million associated with the variation in the fair value of the UBS Call Option, partially offset by a gain from negative goodwill in the amount of Ch$13,534 associated with the pur</w:t>
            </w:r>
            <w:r>
              <w:rPr>
                <w:rFonts w:ascii="Arial" w:hAnsi="Arial" w:cs="Arial"/>
              </w:rPr>
              <w:t xml:space="preserve">chase of Johnson_s in 2011. </w:t>
            </w:r>
          </w:p>
        </w:tc>
      </w:tr>
    </w:tbl>
    <w:p w:rsidR="00000000" w:rsidRDefault="003E5AFF">
      <w:pPr>
        <w:pStyle w:val="NormalWeb"/>
        <w:spacing w:before="240" w:beforeAutospacing="0" w:after="0" w:afterAutospacing="0"/>
      </w:pPr>
      <w:r>
        <w:rPr>
          <w:rFonts w:ascii="Arial" w:hAnsi="Arial" w:cs="Arial"/>
          <w:b/>
          <w:bCs/>
          <w:i/>
          <w:iCs/>
        </w:rPr>
        <w:t xml:space="preserve">Income tax charge </w:t>
      </w:r>
    </w:p>
    <w:p w:rsidR="00000000" w:rsidRDefault="003E5AFF">
      <w:pPr>
        <w:pStyle w:val="NormalWeb"/>
        <w:spacing w:before="120" w:beforeAutospacing="0" w:after="0" w:afterAutospacing="0"/>
      </w:pPr>
      <w:r>
        <w:rPr>
          <w:rFonts w:ascii="Arial" w:hAnsi="Arial" w:cs="Arial"/>
        </w:rPr>
        <w:t>For the year ended December 31, 2011, we had an income tax expense of Ch$119,556 million, compared to an income tax expense of Ch$76,830 million for the same period in 2010. This increase of Ch$42,726 million</w:t>
      </w:r>
      <w:r>
        <w:rPr>
          <w:rFonts w:ascii="Arial" w:hAnsi="Arial" w:cs="Arial"/>
        </w:rPr>
        <w:t xml:space="preserve"> primarily reflected (i) higher taxable income of Ch$417,982 million for the year ended December 31, 2011, compared to Ch$383,311 million for the same period in 2010, (ii) a higher income tax rate in Chile of 20% in 2011 (up from 17% in 2010), which was in</w:t>
      </w:r>
      <w:r>
        <w:rPr>
          <w:rFonts w:ascii="Arial" w:hAnsi="Arial" w:cs="Arial"/>
        </w:rPr>
        <w:t xml:space="preserve">creased to fund reconstruction initiatives related to the 2010 earthquake and tsunami, (iii) higher deferred tax expenses of Ch$9,468 million due to taxes arising from the changes in tax rates; and (iv) the increase in our taxable income due to the growth </w:t>
      </w:r>
      <w:r>
        <w:rPr>
          <w:rFonts w:ascii="Arial" w:hAnsi="Arial" w:cs="Arial"/>
        </w:rPr>
        <w:t xml:space="preserve">of our operations in Brazil, which has a higher tax rate than Chile. </w:t>
      </w:r>
    </w:p>
    <w:p w:rsidR="00000000" w:rsidRDefault="003E5AFF">
      <w:pPr>
        <w:pStyle w:val="NormalWeb"/>
        <w:spacing w:before="240" w:beforeAutospacing="0" w:after="0" w:afterAutospacing="0"/>
      </w:pPr>
      <w:r>
        <w:rPr>
          <w:rFonts w:ascii="Arial" w:hAnsi="Arial" w:cs="Arial"/>
          <w:b/>
          <w:bCs/>
          <w:i/>
          <w:iCs/>
        </w:rPr>
        <w:t xml:space="preserve">Profit (loss) attributable to controlling shareholders </w:t>
      </w:r>
    </w:p>
    <w:p w:rsidR="00000000" w:rsidRDefault="003E5AFF">
      <w:pPr>
        <w:pStyle w:val="NormalWeb"/>
        <w:spacing w:before="120" w:beforeAutospacing="0" w:after="0" w:afterAutospacing="0"/>
      </w:pPr>
      <w:r>
        <w:rPr>
          <w:rFonts w:ascii="Arial" w:hAnsi="Arial" w:cs="Arial"/>
        </w:rPr>
        <w:t xml:space="preserve">As a result of the above factors, our net earnings decreased 3.5%, or Ch$10,346 million, to Ch$285,915 million for the year ended </w:t>
      </w:r>
      <w:r>
        <w:rPr>
          <w:rFonts w:ascii="Arial" w:hAnsi="Arial" w:cs="Arial"/>
        </w:rPr>
        <w:t xml:space="preserve">December 31, 2011 from Ch$296,261 million for the same period in 2010. Our net earnings, as a percentage of revenues from ordinary activities, decreased to 3.8% for the year ended December 31, 2011 from 4.8% for the same period in 2010.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- 136 - </w:t>
      </w:r>
    </w:p>
    <w:p w:rsidR="00000000" w:rsidRDefault="003E5AFF">
      <w:pPr>
        <w:rPr>
          <w:rFonts w:eastAsia="Times New Roman" w:cs="Times New Roman"/>
        </w:rPr>
      </w:pPr>
      <w:r>
        <w:rPr>
          <w:rFonts w:eastAsia="Times New Roman" w:cs="Times New Roman"/>
        </w:rPr>
        <w:pict>
          <v:rect id="_x0000_i1170" style="width:441.9pt;height:3pt" o:hralign="center" o:hrstd="t" o:hrnoshade="t" o:hr="t" fillcolor="#999" stroked="f"/>
        </w:pict>
      </w:r>
    </w:p>
    <w:p w:rsidR="00000000" w:rsidRDefault="003E5AFF">
      <w:pPr>
        <w:pStyle w:val="Heading5"/>
        <w:rPr>
          <w:rFonts w:eastAsia="Times New Roman" w:cs="Times New Roman"/>
        </w:rPr>
      </w:pPr>
      <w:hyperlink r:id="rId187"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b/>
          <w:bCs/>
          <w:i/>
          <w:iCs/>
        </w:rPr>
        <w:t xml:space="preserve">Year ended December 31, 2010 compared to year ended December 31, 2009 </w:t>
      </w:r>
    </w:p>
    <w:p w:rsidR="00000000" w:rsidRDefault="003E5AFF">
      <w:pPr>
        <w:pStyle w:val="NormalWeb"/>
        <w:spacing w:before="120" w:beforeAutospacing="0" w:after="0" w:afterAutospacing="0"/>
      </w:pPr>
      <w:r>
        <w:rPr>
          <w:rFonts w:ascii="Arial" w:hAnsi="Arial" w:cs="Arial"/>
        </w:rPr>
        <w:t xml:space="preserve">The following table presents, for the periods indicated, certain items of our statement of income: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235"/>
        <w:gridCol w:w="129"/>
        <w:gridCol w:w="65"/>
        <w:gridCol w:w="1105"/>
        <w:gridCol w:w="128"/>
        <w:gridCol w:w="128"/>
        <w:gridCol w:w="65"/>
        <w:gridCol w:w="1105"/>
        <w:gridCol w:w="128"/>
        <w:gridCol w:w="128"/>
        <w:gridCol w:w="68"/>
        <w:gridCol w:w="899"/>
        <w:gridCol w:w="123"/>
      </w:tblGrid>
      <w:tr w:rsidR="00000000">
        <w:trPr>
          <w:jc w:val="center"/>
        </w:trPr>
        <w:tc>
          <w:tcPr>
            <w:tcW w:w="33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Change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4,452,759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4,006,366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819,838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671,517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622,719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516,537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116,991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108,168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221,010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261,257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6,236,974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5,565,246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Cost of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(3,355,796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(3,054,483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(561,006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(470,167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(446,769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(380,569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(17,858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(22,409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(128,910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cost of 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(4,457,229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(4,060,148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1,096,963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951,883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258,832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201,351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175,950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135,968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Financial 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150,552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132,348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Others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720" w:hanging="240"/>
            </w:pPr>
            <w:r>
              <w:rPr>
                <w:rFonts w:ascii="Arial" w:hAnsi="Arial" w:cs="Arial"/>
              </w:rPr>
              <w:t>Total 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1,779,745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1,505,098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Administrative expenses, distribution costs and other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(1,371,074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(1,204,735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revenues by function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43,871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Participation in earnings of associates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Other earnings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69,997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financial expenses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(69,807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(89,592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(Losses) gains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Income tax charge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Profit attributable to controlling shareholders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296,261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243,597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b/>
          <w:bCs/>
          <w:i/>
          <w:iCs/>
        </w:rPr>
        <w:t xml:space="preserve">Revenues from ordinary activities </w:t>
      </w:r>
    </w:p>
    <w:p w:rsidR="00000000" w:rsidRDefault="003E5AFF">
      <w:pPr>
        <w:pStyle w:val="NormalWeb"/>
        <w:spacing w:before="120" w:beforeAutospacing="0" w:after="0" w:afterAutospacing="0"/>
      </w:pPr>
      <w:r>
        <w:rPr>
          <w:rFonts w:ascii="Arial" w:hAnsi="Arial" w:cs="Arial"/>
        </w:rPr>
        <w:t>Our consolidated revenues from ordinary activities increased 12.1%, or Ch$671,728 million, to Ch$6,236,974 million for the year ended December 31, 2010 from Ch$5,565,246 million for the year ended December 31, 2009, as a result of an increase of Ch$446,393</w:t>
      </w:r>
      <w:r>
        <w:rPr>
          <w:rFonts w:ascii="Arial" w:hAnsi="Arial" w:cs="Arial"/>
        </w:rPr>
        <w:t xml:space="preserve"> million resulting from growth in revenues from ordinary activities of 11.1% in our supermarkets segment, an increase of Ch$148,321 resulting from growth in revenues from ordinary activities of 22.1% in our home improvement stores segment, an increase of C</w:t>
      </w:r>
      <w:r>
        <w:rPr>
          <w:rFonts w:ascii="Arial" w:hAnsi="Arial" w:cs="Arial"/>
        </w:rPr>
        <w:t xml:space="preserve">h$106,182 million resulting from growth in revenues from ordinary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- 137 - </w:t>
      </w:r>
    </w:p>
    <w:p w:rsidR="00000000" w:rsidRDefault="003E5AFF">
      <w:pPr>
        <w:rPr>
          <w:rFonts w:eastAsia="Times New Roman" w:cs="Times New Roman"/>
        </w:rPr>
      </w:pPr>
      <w:r>
        <w:rPr>
          <w:rFonts w:eastAsia="Times New Roman" w:cs="Times New Roman"/>
        </w:rPr>
        <w:pict>
          <v:rect id="_x0000_i1171" style="width:441.9pt;height:3pt" o:hralign="center" o:hrstd="t" o:hrnoshade="t" o:hr="t" fillcolor="#999" stroked="f"/>
        </w:pict>
      </w:r>
    </w:p>
    <w:p w:rsidR="00000000" w:rsidRDefault="003E5AFF">
      <w:pPr>
        <w:pStyle w:val="Heading5"/>
        <w:rPr>
          <w:rFonts w:eastAsia="Times New Roman" w:cs="Times New Roman"/>
        </w:rPr>
      </w:pPr>
      <w:hyperlink r:id="rId18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activities of 20.6% in our department stores segment and an increase of Ch$8,823 million resulting from growth in revenues from ordinary ac</w:t>
      </w:r>
      <w:r>
        <w:rPr>
          <w:rFonts w:ascii="Arial" w:hAnsi="Arial" w:cs="Arial"/>
        </w:rPr>
        <w:t>tivities of 8.2% in our shopping centers segment. Supermarkets accounted for 66.5% of the total increase in revenues from ordinary activities from 2009. This increase was partially offset by a decrease of Ch$40,247 million resulting from a 15.4% decrease i</w:t>
      </w:r>
      <w:r>
        <w:rPr>
          <w:rFonts w:ascii="Arial" w:hAnsi="Arial" w:cs="Arial"/>
        </w:rPr>
        <w:t xml:space="preserve">n revenues from ordinary activities from our financial services segment.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Our consolidated revenues from ordinary activities from our supermarkets increased 11.1%, or Ch$446,393 million, to Ch$4,452,759 million for the year ended December 31,</w:t>
      </w:r>
      <w:r>
        <w:rPr>
          <w:rFonts w:ascii="Arial" w:hAnsi="Arial" w:cs="Arial"/>
        </w:rPr>
        <w:t xml:space="preserve"> 2010 from Ch$ 4,006,366 million for the year ended December 31, 2009, primarily due to (i) an increase of Ch$ 276,645 million resulting from an increase of 48.9% in Brazil_s revenues mainly driven by the consolidation of Bretas into our operations for the</w:t>
      </w:r>
      <w:r>
        <w:rPr>
          <w:rFonts w:ascii="Arial" w:hAnsi="Arial" w:cs="Arial"/>
        </w:rPr>
        <w:t xml:space="preserve"> months of November and December (43.0% of the total rise of Brazilian sales is attributable to the Bretas acquisition) and to a lesser degree by the consolidation of the smaller scale operations at Perini and Super Familia into our operations, (ii) an inc</w:t>
      </w:r>
      <w:r>
        <w:rPr>
          <w:rFonts w:ascii="Arial" w:hAnsi="Arial" w:cs="Arial"/>
        </w:rPr>
        <w:t>rease of Ch$ 90,158 million resulting from an increase of 7.0% in Argentina_s revenues from ordinary activities as a result of an increase in nominal same-store sales in local currency of 25.2% driven by inflation, and (iii) an increase of Ch$ 70,892 milli</w:t>
      </w:r>
      <w:r>
        <w:rPr>
          <w:rFonts w:ascii="Arial" w:hAnsi="Arial" w:cs="Arial"/>
        </w:rPr>
        <w:t xml:space="preserve">on resulting from an increase of 4.4% in revenues from ordinary activities from Chile due to an increase in nominal same-store sales of 5.9%. </w:t>
      </w:r>
    </w:p>
    <w:p w:rsidR="00000000" w:rsidRDefault="003E5AFF">
      <w:pPr>
        <w:pStyle w:val="NormalWeb"/>
        <w:spacing w:before="240" w:beforeAutospacing="0" w:after="0" w:afterAutospacing="0"/>
      </w:pPr>
      <w:r>
        <w:rPr>
          <w:rFonts w:ascii="Arial" w:hAnsi="Arial" w:cs="Arial"/>
          <w:i/>
          <w:iCs/>
        </w:rPr>
        <w:t xml:space="preserve">Home improvement stores </w:t>
      </w:r>
    </w:p>
    <w:p w:rsidR="00000000" w:rsidRDefault="003E5AFF">
      <w:pPr>
        <w:pStyle w:val="NormalWeb"/>
        <w:spacing w:before="120" w:beforeAutospacing="0" w:after="0" w:afterAutospacing="0"/>
      </w:pPr>
      <w:r>
        <w:rPr>
          <w:rFonts w:ascii="Arial" w:hAnsi="Arial" w:cs="Arial"/>
        </w:rPr>
        <w:t xml:space="preserve">Our consolidated </w:t>
      </w:r>
      <w:r>
        <w:rPr>
          <w:rFonts w:ascii="Arial" w:hAnsi="Arial" w:cs="Arial"/>
        </w:rPr>
        <w:t>revenues from ordinary activities from our home improvement stores segment increased 22.1%, or Ch$148,321 million, to Ch$819,838 million for the year ended December 31, 2010 from Ch$671,517 million for the year ended December 31, 2009, primarily due to (i)</w:t>
      </w:r>
      <w:r>
        <w:rPr>
          <w:rFonts w:ascii="Arial" w:hAnsi="Arial" w:cs="Arial"/>
        </w:rPr>
        <w:t xml:space="preserve"> an increase of Ch$ 71,962 million resulting from an increase of 27.3% in net revenue in Chile due to an increase in nominal same-store sales of 23.7%, driven by the increased demand of construction materials after the 2010 earthquake and tsunami in Chile </w:t>
      </w:r>
      <w:r>
        <w:rPr>
          <w:rFonts w:ascii="Arial" w:hAnsi="Arial" w:cs="Arial"/>
        </w:rPr>
        <w:t>and increased of selling space with four new stores , (ii) an increase of Ch$ 52,795 million resulting from an increase of 13.3% in net revenue in Argentina as a result of an increase in nominal same-store sales in local currency of 27.8%, driven by inflat</w:t>
      </w:r>
      <w:r>
        <w:rPr>
          <w:rFonts w:ascii="Arial" w:hAnsi="Arial" w:cs="Arial"/>
        </w:rPr>
        <w:t xml:space="preserve">ion and the opening of three new stores, and (iii) an increase of $23,564 million in revenues from ordinary activities from Colombia, which almost tripled, rising from Ch$9,525 million for the year ended December 31, 2009 to Ch$33,089 million for the year </w:t>
      </w:r>
      <w:r>
        <w:rPr>
          <w:rFonts w:ascii="Arial" w:hAnsi="Arial" w:cs="Arial"/>
        </w:rPr>
        <w:t xml:space="preserve">ended December 31, 2010, mainly as a result of increased selling space due to our opening two new stores. </w:t>
      </w:r>
    </w:p>
    <w:p w:rsidR="00000000" w:rsidRDefault="003E5AFF">
      <w:pPr>
        <w:pStyle w:val="NormalWeb"/>
        <w:spacing w:before="24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 xml:space="preserve">Our consolidated revenues from ordinary </w:t>
      </w:r>
      <w:r>
        <w:rPr>
          <w:rFonts w:ascii="Arial" w:hAnsi="Arial" w:cs="Arial"/>
        </w:rPr>
        <w:t>activities from our Paris department stores in Chile increased 20.6%, or Ch$106,182 million, to Ch$622,719 million for the year ended December 31, 2010 from Ch$516,537 million for the year ended December 31, 2009, primarily due to an increase in nominal sa</w:t>
      </w:r>
      <w:r>
        <w:rPr>
          <w:rFonts w:ascii="Arial" w:hAnsi="Arial" w:cs="Arial"/>
        </w:rPr>
        <w:t xml:space="preserve">me-store sales of 19.7% as a result of increased demand associated with the Soccer World Cup and the February 2010 earthquake and tsunami, and the opening of four new department store in Chile, which increased our selling space by 8.5%. </w:t>
      </w:r>
    </w:p>
    <w:p w:rsidR="00000000" w:rsidRDefault="003E5AFF">
      <w:pPr>
        <w:pStyle w:val="NormalWeb"/>
        <w:spacing w:before="24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 xml:space="preserve">Our consolidated revenues from ordinary activities from our shopping centers increased 8.2%, or Ch$8,823 million, to Ch$116,991 million for the year ended December 31, 2010 from Ch$108,168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- 138 - </w:t>
      </w:r>
    </w:p>
    <w:p w:rsidR="00000000" w:rsidRDefault="003E5AFF">
      <w:pPr>
        <w:rPr>
          <w:rFonts w:eastAsia="Times New Roman" w:cs="Times New Roman"/>
        </w:rPr>
      </w:pPr>
      <w:r>
        <w:rPr>
          <w:rFonts w:eastAsia="Times New Roman" w:cs="Times New Roman"/>
        </w:rPr>
        <w:pict>
          <v:rect id="_x0000_i1172" style="width:441.9pt;height:3pt" o:hralign="center" o:hrstd="t" o:hrnoshade="t" o:hr="t" fillcolor="#999" stroked="f"/>
        </w:pict>
      </w:r>
    </w:p>
    <w:p w:rsidR="00000000" w:rsidRDefault="003E5AFF">
      <w:pPr>
        <w:pStyle w:val="Heading5"/>
        <w:rPr>
          <w:rFonts w:eastAsia="Times New Roman" w:cs="Times New Roman"/>
        </w:rPr>
      </w:pPr>
      <w:hyperlink r:id="rId18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million for the year ended December 31, 2009, primarily due to (i) </w:t>
      </w:r>
      <w:r>
        <w:rPr>
          <w:rFonts w:ascii="Arial" w:hAnsi="Arial" w:cs="Arial"/>
        </w:rPr>
        <w:t>an increase of Ch$ 6,756 million resulting from an increase of 14.5% in net revenue from Argentina driven by higher revenues in local currency due to inflation and the opening of a new shopping center, and (ii) an increase of Ch$ 3,261 million resulting fr</w:t>
      </w:r>
      <w:r>
        <w:rPr>
          <w:rFonts w:ascii="Arial" w:hAnsi="Arial" w:cs="Arial"/>
        </w:rPr>
        <w:t xml:space="preserve">om an increase of 6.3% in net revenue from Chile attributable to the opening of a new shopping center and higher shopping center activities as a result of the recovery from the financial crisis and to the higher sales activities driven by the Soccer World </w:t>
      </w:r>
      <w:r>
        <w:rPr>
          <w:rFonts w:ascii="Arial" w:hAnsi="Arial" w:cs="Arial"/>
        </w:rPr>
        <w:t xml:space="preserve">Cup and the 2010 earthquake and tsunami. This increase was partially offset by a decrease of Ch$1,194 million resulting from a decrease in revenues of 11.9% in Peru driven by a reclassification of certain assets in our shopping center operations. </w:t>
      </w:r>
    </w:p>
    <w:p w:rsidR="00000000" w:rsidRDefault="003E5AFF">
      <w:pPr>
        <w:pStyle w:val="NormalWeb"/>
        <w:spacing w:before="240" w:beforeAutospacing="0" w:after="0" w:afterAutospacing="0"/>
      </w:pPr>
      <w:r>
        <w:rPr>
          <w:rFonts w:ascii="Arial" w:hAnsi="Arial" w:cs="Arial"/>
          <w:i/>
          <w:iCs/>
        </w:rPr>
        <w:t>Financia</w:t>
      </w:r>
      <w:r>
        <w:rPr>
          <w:rFonts w:ascii="Arial" w:hAnsi="Arial" w:cs="Arial"/>
          <w:i/>
          <w:iCs/>
        </w:rPr>
        <w:t xml:space="preserve">l services </w:t>
      </w:r>
    </w:p>
    <w:p w:rsidR="00000000" w:rsidRDefault="003E5AFF">
      <w:pPr>
        <w:pStyle w:val="NormalWeb"/>
        <w:spacing w:before="120" w:beforeAutospacing="0" w:after="0" w:afterAutospacing="0"/>
      </w:pPr>
      <w:r>
        <w:rPr>
          <w:rFonts w:ascii="Arial" w:hAnsi="Arial" w:cs="Arial"/>
        </w:rPr>
        <w:t>Our consolidated revenues from ordinary activities from our financial services segment decreased 15.4%, or Ch$40,247 million, to Ch$221,010 million for the year ended December 31, 2010 from Ch$261,257 million for the year ended December 31, 200</w:t>
      </w:r>
      <w:r>
        <w:rPr>
          <w:rFonts w:ascii="Arial" w:hAnsi="Arial" w:cs="Arial"/>
        </w:rPr>
        <w:t xml:space="preserve">9, primarily due to a decrease of Ch$40,504 million as a result of lower yields from lower interest rates charged in the Chilean market. </w:t>
      </w:r>
    </w:p>
    <w:p w:rsidR="00000000" w:rsidRDefault="003E5AFF">
      <w:pPr>
        <w:pStyle w:val="NormalWeb"/>
        <w:spacing w:before="240" w:beforeAutospacing="0" w:after="0" w:afterAutospacing="0"/>
      </w:pPr>
      <w:r>
        <w:rPr>
          <w:rFonts w:ascii="Arial" w:hAnsi="Arial" w:cs="Arial"/>
          <w:b/>
          <w:bCs/>
          <w:i/>
          <w:iCs/>
        </w:rPr>
        <w:t xml:space="preserve">Cost of sales </w:t>
      </w:r>
    </w:p>
    <w:p w:rsidR="00000000" w:rsidRDefault="003E5AFF">
      <w:pPr>
        <w:pStyle w:val="NormalWeb"/>
        <w:spacing w:before="120" w:beforeAutospacing="0" w:after="0" w:afterAutospacing="0"/>
      </w:pPr>
      <w:r>
        <w:rPr>
          <w:rFonts w:ascii="Arial" w:hAnsi="Arial" w:cs="Arial"/>
        </w:rPr>
        <w:t>Our consolidated cost of sales increased 9.8%, or Ch$397,080 million, to Ch$4,457,229 million for the y</w:t>
      </w:r>
      <w:r>
        <w:rPr>
          <w:rFonts w:ascii="Arial" w:hAnsi="Arial" w:cs="Arial"/>
        </w:rPr>
        <w:t xml:space="preserve">ear ended December 31, 2010 from Ch$4,060,148 million for the year ended December 31, 2009, primarily due to higher sales volumes in our supermarket, home improvement and department stores segments. </w:t>
      </w:r>
    </w:p>
    <w:p w:rsidR="00000000" w:rsidRDefault="003E5AFF">
      <w:pPr>
        <w:pStyle w:val="NormalWeb"/>
        <w:spacing w:before="120" w:beforeAutospacing="0" w:after="0" w:afterAutospacing="0"/>
      </w:pPr>
      <w:r>
        <w:rPr>
          <w:rFonts w:ascii="Arial" w:hAnsi="Arial" w:cs="Arial"/>
        </w:rPr>
        <w:t>Cost of sales as a percentage of sales decreased primari</w:t>
      </w:r>
      <w:r>
        <w:rPr>
          <w:rFonts w:ascii="Arial" w:hAnsi="Arial" w:cs="Arial"/>
        </w:rPr>
        <w:t>ly as a result of (i) a decrease in the proportion of total sales represented by our supermarkets segment (from 72.0% of total revenues in 2009 to 71.4% in 2010), which generally has higher cost of sales as a percentage of sales than other segments, (ii) a</w:t>
      </w:r>
      <w:r>
        <w:rPr>
          <w:rFonts w:ascii="Arial" w:hAnsi="Arial" w:cs="Arial"/>
        </w:rPr>
        <w:t xml:space="preserve"> decrease in our cost of sales as a percentage of sales for our supermarket, home improvement and department stores segments, and (iii) a 17.5% decrease in cost of sales as a percentage of sales in the financial services segment due to the reversal of loan</w:t>
      </w:r>
      <w:r>
        <w:rPr>
          <w:rFonts w:ascii="Arial" w:hAnsi="Arial" w:cs="Arial"/>
        </w:rPr>
        <w:t xml:space="preserve"> loss provisions as a result of a 330 basis point decrease (from 10.9% to 7.6%) in the risk ratio of our loan portfolio in Chile attributable to improved economic conditions.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Our consolidated cost of sales in our supermarkets segment increas</w:t>
      </w:r>
      <w:r>
        <w:rPr>
          <w:rFonts w:ascii="Arial" w:hAnsi="Arial" w:cs="Arial"/>
        </w:rPr>
        <w:t>ed 9.9%, or Ch$301,312 million, to Ch$3,355,796 million for the year ended December 31, 2010 from Ch$3,054,483 million for the year ended December 31, 2009, as a result of an increase of 11.1% in sales for the period primarily due to (i) an increase of cos</w:t>
      </w:r>
      <w:r>
        <w:rPr>
          <w:rFonts w:ascii="Arial" w:hAnsi="Arial" w:cs="Arial"/>
        </w:rPr>
        <w:t>t of sales in Brazil of Ch$219,203 million resulting from an increase of 48.9% in sales and higher cost of sales over sales of 0.4%, (ii) an increase of Ch$ 46,684 million resulting from an increase of 4.4% in sales in Chile and lower cost of sales over sa</w:t>
      </w:r>
      <w:r>
        <w:rPr>
          <w:rFonts w:ascii="Arial" w:hAnsi="Arial" w:cs="Arial"/>
        </w:rPr>
        <w:t xml:space="preserve">les of 0.5%, (iii) an increase of Ch$33,030 million resulting from an increase of 7.0% in sales in Argentina and lower cost of sales over sales of 2.5%, and (iv) an increase of Ch$2,397 million resulting from an increase of 1.6% in sales in Peru and lower </w:t>
      </w:r>
      <w:r>
        <w:rPr>
          <w:rFonts w:ascii="Arial" w:hAnsi="Arial" w:cs="Arial"/>
        </w:rPr>
        <w:t xml:space="preserve">cost of sales over sales of 0.8%. </w:t>
      </w:r>
    </w:p>
    <w:p w:rsidR="00000000" w:rsidRDefault="003E5AFF">
      <w:pPr>
        <w:pStyle w:val="NormalWeb"/>
        <w:spacing w:before="120" w:beforeAutospacing="0" w:after="0" w:afterAutospacing="0"/>
      </w:pPr>
      <w:r>
        <w:rPr>
          <w:rFonts w:ascii="Arial" w:hAnsi="Arial" w:cs="Arial"/>
        </w:rPr>
        <w:t xml:space="preserve">Cost of sales as a percentage of sales decreased to 75.4% in 2010 from 76.2% in 2009, due to lower cost of sales in Argentina (from 74.8% to 72.3%) and in Chile (from 76.7% to 76.2%) as a consequence of higher inflation, </w:t>
      </w:r>
      <w:r>
        <w:rPr>
          <w:rFonts w:ascii="Arial" w:hAnsi="Arial" w:cs="Arial"/>
        </w:rPr>
        <w:t xml:space="preserve">which results in lower cost of goods sold relative to sales prices.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- 139 - </w:t>
      </w:r>
    </w:p>
    <w:p w:rsidR="00000000" w:rsidRDefault="003E5AFF">
      <w:pPr>
        <w:rPr>
          <w:rFonts w:eastAsia="Times New Roman" w:cs="Times New Roman"/>
        </w:rPr>
      </w:pPr>
      <w:r>
        <w:rPr>
          <w:rFonts w:eastAsia="Times New Roman" w:cs="Times New Roman"/>
        </w:rPr>
        <w:pict>
          <v:rect id="_x0000_i1173" style="width:441.9pt;height:3pt" o:hralign="center" o:hrstd="t" o:hrnoshade="t" o:hr="t" fillcolor="#999" stroked="f"/>
        </w:pict>
      </w:r>
    </w:p>
    <w:p w:rsidR="00000000" w:rsidRDefault="003E5AFF">
      <w:pPr>
        <w:pStyle w:val="Heading5"/>
        <w:rPr>
          <w:rFonts w:eastAsia="Times New Roman" w:cs="Times New Roman"/>
        </w:rPr>
      </w:pPr>
      <w:hyperlink r:id="rId19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Home improvement stores</w:t>
      </w:r>
      <w:r>
        <w:rPr>
          <w:rFonts w:ascii="Arial" w:hAnsi="Arial" w:cs="Arial"/>
          <w:i/>
          <w:iCs/>
        </w:rPr>
        <w:t xml:space="preserve"> </w:t>
      </w:r>
    </w:p>
    <w:p w:rsidR="00000000" w:rsidRDefault="003E5AFF">
      <w:pPr>
        <w:pStyle w:val="NormalWeb"/>
        <w:spacing w:before="120" w:beforeAutospacing="0" w:after="0" w:afterAutospacing="0"/>
      </w:pPr>
      <w:r>
        <w:rPr>
          <w:rFonts w:ascii="Arial" w:hAnsi="Arial" w:cs="Arial"/>
        </w:rPr>
        <w:t xml:space="preserve">Our consolidated cost of sales in our home improvement stores segment increased 19.3%, or Ch$90,839 million, to Ch$561,006 million for the year ended December 31, 2010 from Ch$470,167 million for the year ended December 31, 2009, primarily due to (i) an </w:t>
      </w:r>
      <w:r>
        <w:rPr>
          <w:rFonts w:ascii="Arial" w:hAnsi="Arial" w:cs="Arial"/>
        </w:rPr>
        <w:t xml:space="preserve">increase of cost of sales in Chile of Ch$48,940 million resulting from an increase of 27.3% in sales and lower cost of sales over sales of 1.0%, (ii) an increase of Ch$25,613 million in Argentina resulting from an increase of 13.3% in sales and lower cost </w:t>
      </w:r>
      <w:r>
        <w:rPr>
          <w:rFonts w:ascii="Arial" w:hAnsi="Arial" w:cs="Arial"/>
        </w:rPr>
        <w:t xml:space="preserve">of sales over sales of 2.3%, and (iii) an increase of Ch$16,286 million in Colombia resulting from an increase of 247.4% in sales and lower cost of sales over sales of 3.4%. </w:t>
      </w:r>
    </w:p>
    <w:p w:rsidR="00000000" w:rsidRDefault="003E5AFF">
      <w:pPr>
        <w:pStyle w:val="NormalWeb"/>
        <w:spacing w:before="120" w:beforeAutospacing="0" w:after="0" w:afterAutospacing="0"/>
      </w:pPr>
      <w:r>
        <w:rPr>
          <w:rFonts w:ascii="Arial" w:hAnsi="Arial" w:cs="Arial"/>
        </w:rPr>
        <w:t>Cost of sales as a percentage of sales decreased to 68.4% in 2010 from 70.0% in 2</w:t>
      </w:r>
      <w:r>
        <w:rPr>
          <w:rFonts w:ascii="Arial" w:hAnsi="Arial" w:cs="Arial"/>
        </w:rPr>
        <w:t>009, due to lower cost of sales across all of our primarily driven by inflation in Argentina and improvements in economy of scale in Colombia. Cost of sales as a percentage of sales decreased to 71.7% in 2010 from 72.7% in 2009 in Chile and decreased by 2.</w:t>
      </w:r>
      <w:r>
        <w:rPr>
          <w:rFonts w:ascii="Arial" w:hAnsi="Arial" w:cs="Arial"/>
        </w:rPr>
        <w:t xml:space="preserve">3% in Argentina and by 3.4% in Colombia. </w:t>
      </w:r>
    </w:p>
    <w:p w:rsidR="00000000" w:rsidRDefault="003E5AFF">
      <w:pPr>
        <w:pStyle w:val="NormalWeb"/>
        <w:spacing w:before="24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Our consolidated cost of sales in our department stores in Chile stores increased 17.4%, or Ch$66,200 million, to Ch$446,769 million for the year ended December </w:t>
      </w:r>
      <w:r>
        <w:rPr>
          <w:rFonts w:ascii="Arial" w:hAnsi="Arial" w:cs="Arial"/>
        </w:rPr>
        <w:t>31, 2010 from Ch$380,569 million for the year ended December 31, 2009, primarily due to a 20.6% increase in sales during the period. Cost of sales as percentage of sales decreased to 71.7% in 2010 from 73.7% 2009 primarily due to changes in merchandise mix</w:t>
      </w:r>
      <w:r>
        <w:rPr>
          <w:rFonts w:ascii="Arial" w:hAnsi="Arial" w:cs="Arial"/>
        </w:rPr>
        <w:t xml:space="preserve"> both on locally sourced goods and imported goods, and the combined effects of the Soccer World Cup tournament and increased sales following the Chilean earthquake in February 2010. </w:t>
      </w:r>
    </w:p>
    <w:p w:rsidR="00000000" w:rsidRDefault="003E5AFF">
      <w:pPr>
        <w:pStyle w:val="NormalWeb"/>
        <w:spacing w:before="24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 xml:space="preserve">Our consolidated cost of sales in our shopping centers </w:t>
      </w:r>
      <w:r>
        <w:rPr>
          <w:rFonts w:ascii="Arial" w:hAnsi="Arial" w:cs="Arial"/>
        </w:rPr>
        <w:t>decreased 20.3%, or Ch$ 4,551 million, to Ch$ 17,858 million for the year ended December 31, 2010 from Ch$ 22,409 million for the year ended December 31, 2009, primarily due to (i) a decrease of cost of sales in Chile of Ch$ 2,535 million resulting from an</w:t>
      </w:r>
      <w:r>
        <w:rPr>
          <w:rFonts w:ascii="Arial" w:hAnsi="Arial" w:cs="Arial"/>
        </w:rPr>
        <w:t xml:space="preserve"> increase of 6.3% in sales and lower cost of sales over sales of 5.5%, (ii) an increase of Ch$ 134 million in Argentina resulting from an increase of 14.5% in sales and lower cost of sales of 2.7%, and (iii) a decrease of Ch$2,150 million in Peru resulting</w:t>
      </w:r>
      <w:r>
        <w:rPr>
          <w:rFonts w:ascii="Arial" w:hAnsi="Arial" w:cs="Arial"/>
        </w:rPr>
        <w:t xml:space="preserve"> from a decrease of 11.9% in sales and lower cost of sales over sales of 18.6%. </w:t>
      </w:r>
    </w:p>
    <w:p w:rsidR="00000000" w:rsidRDefault="003E5AFF">
      <w:pPr>
        <w:pStyle w:val="NormalWeb"/>
        <w:spacing w:before="120" w:beforeAutospacing="0" w:after="0" w:afterAutospacing="0"/>
      </w:pPr>
      <w:r>
        <w:rPr>
          <w:rFonts w:ascii="Arial" w:hAnsi="Arial" w:cs="Arial"/>
        </w:rPr>
        <w:t xml:space="preserve">Cost of sales as percentage of sales decreased to 5.5% in 2010 from 20.7% in 2009 primarily due to a decrease in our shopping centers_ depreciation expense during this period </w:t>
      </w:r>
      <w:r>
        <w:rPr>
          <w:rFonts w:ascii="Arial" w:hAnsi="Arial" w:cs="Arial"/>
        </w:rPr>
        <w:t xml:space="preserve">as a result of the reclassification of certain assets in our shopping center operations. </w:t>
      </w:r>
    </w:p>
    <w:p w:rsidR="00000000" w:rsidRDefault="003E5AFF">
      <w:pPr>
        <w:pStyle w:val="NormalWeb"/>
        <w:spacing w:before="240" w:beforeAutospacing="0" w:after="0" w:afterAutospacing="0"/>
      </w:pPr>
      <w:r>
        <w:rPr>
          <w:rFonts w:ascii="Arial" w:hAnsi="Arial" w:cs="Arial"/>
          <w:i/>
          <w:iCs/>
        </w:rPr>
        <w:t xml:space="preserve">Financial services </w:t>
      </w:r>
    </w:p>
    <w:p w:rsidR="00000000" w:rsidRDefault="003E5AFF">
      <w:pPr>
        <w:pStyle w:val="NormalWeb"/>
        <w:spacing w:before="120" w:beforeAutospacing="0" w:after="0" w:afterAutospacing="0"/>
      </w:pPr>
      <w:r>
        <w:rPr>
          <w:rFonts w:ascii="Arial" w:hAnsi="Arial" w:cs="Arial"/>
        </w:rPr>
        <w:t>Our consolidated cost of sales, primarily provisions for bad debts and collection and processing costs, from our financial services segment decrea</w:t>
      </w:r>
      <w:r>
        <w:rPr>
          <w:rFonts w:ascii="Arial" w:hAnsi="Arial" w:cs="Arial"/>
        </w:rPr>
        <w:t>sed 45.3%, or Ch$58,452 million, to Ch$70,458 million for the year ended December 31, 2010 from Ch$128,910 million for the year ended December 31, 2009 primarily due (i) a decrease of cost of sales in Chile of Ch$ 59,292 million resulting from a decrease o</w:t>
      </w:r>
      <w:r>
        <w:rPr>
          <w:rFonts w:ascii="Arial" w:hAnsi="Arial" w:cs="Arial"/>
        </w:rPr>
        <w:t>f 16.9% in sales and to the reversal of loan loss provisions as a result of a 330 basis point decrease in the risk ratio of our loan portfolio in Chile attributable to better macroeconomic conditions in certain of the countries in which we provide financia</w:t>
      </w:r>
      <w:r>
        <w:rPr>
          <w:rFonts w:ascii="Arial" w:hAnsi="Arial" w:cs="Arial"/>
        </w:rPr>
        <w:t xml:space="preserve">l services, such as a 288 basis point decrease in the unemployment rate and a 6.1% increase in GDP in Chile, according to the Central Bank of Chile.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- 140 - </w:t>
      </w:r>
    </w:p>
    <w:p w:rsidR="00000000" w:rsidRDefault="003E5AFF">
      <w:pPr>
        <w:rPr>
          <w:rFonts w:eastAsia="Times New Roman" w:cs="Times New Roman"/>
        </w:rPr>
      </w:pPr>
      <w:r>
        <w:rPr>
          <w:rFonts w:eastAsia="Times New Roman" w:cs="Times New Roman"/>
        </w:rPr>
        <w:pict>
          <v:rect id="_x0000_i1174" style="width:441.9pt;height:3pt" o:hralign="center" o:hrstd="t" o:hrnoshade="t" o:hr="t" fillcolor="#999" stroked="f"/>
        </w:pict>
      </w:r>
    </w:p>
    <w:p w:rsidR="00000000" w:rsidRDefault="003E5AFF">
      <w:pPr>
        <w:pStyle w:val="Heading5"/>
        <w:rPr>
          <w:rFonts w:eastAsia="Times New Roman" w:cs="Times New Roman"/>
        </w:rPr>
      </w:pPr>
      <w:hyperlink r:id="rId19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Gross margin </w:t>
      </w:r>
    </w:p>
    <w:p w:rsidR="00000000" w:rsidRDefault="003E5AFF">
      <w:pPr>
        <w:pStyle w:val="NormalWeb"/>
        <w:spacing w:before="120" w:beforeAutospacing="0" w:after="0" w:afterAutospacing="0"/>
      </w:pPr>
      <w:r>
        <w:rPr>
          <w:rFonts w:ascii="Arial" w:hAnsi="Arial" w:cs="Arial"/>
        </w:rPr>
        <w:t>Our consolidated gross margin increased 18.2%, or Ch$274,647 million, to Ch$1,779,745</w:t>
      </w:r>
      <w:r>
        <w:rPr>
          <w:rFonts w:ascii="Arial" w:hAnsi="Arial" w:cs="Arial"/>
        </w:rPr>
        <w:t xml:space="preserve"> million for the year ended December 31, 2010 from Ch$1,505,098 million for the year ended December 31, 2009, primarily due to (i) an increase of gross margin in Chile of Ch$111,036 million resulting from an increase of 7.9% in sales and higher gross margi</w:t>
      </w:r>
      <w:r>
        <w:rPr>
          <w:rFonts w:ascii="Arial" w:hAnsi="Arial" w:cs="Arial"/>
        </w:rPr>
        <w:t>n over sales of 1.8%, (ii) an increase of gross margin in Argentina of Ch$90,494 million resulting from an increase of 8.6% in sales and higher gross margin over sales of 2.5%, (iii) an increase of gross margin in Brazil of Ch$58,910 million resulting from</w:t>
      </w:r>
      <w:r>
        <w:rPr>
          <w:rFonts w:ascii="Arial" w:hAnsi="Arial" w:cs="Arial"/>
        </w:rPr>
        <w:t xml:space="preserve"> an increase of 48.7% in sales and due to lower gross margin over sales of 0.4%, (iv) an increase of gross margin in Peru of Ch$6,929 million resulting from an increase of 1.5% in sales and due to higher gross margin over sales of 0.9%, and (v) an increase</w:t>
      </w:r>
      <w:r>
        <w:rPr>
          <w:rFonts w:ascii="Arial" w:hAnsi="Arial" w:cs="Arial"/>
        </w:rPr>
        <w:t xml:space="preserve"> of gross margin in Colombia of Ch$7,278 million resulting from an increase of 247.4% in sales and due to higher gross margin over sales of 3.4%. </w:t>
      </w:r>
    </w:p>
    <w:p w:rsidR="00000000" w:rsidRDefault="003E5AFF">
      <w:pPr>
        <w:pStyle w:val="NormalWeb"/>
        <w:spacing w:before="120" w:beforeAutospacing="0" w:after="0" w:afterAutospacing="0"/>
      </w:pPr>
      <w:r>
        <w:rPr>
          <w:rFonts w:ascii="Arial" w:hAnsi="Arial" w:cs="Arial"/>
        </w:rPr>
        <w:t>Our consolidated gross margin as a percentage of revenues from ordinary activities increased 1.5% for the yea</w:t>
      </w:r>
      <w:r>
        <w:rPr>
          <w:rFonts w:ascii="Arial" w:hAnsi="Arial" w:cs="Arial"/>
        </w:rPr>
        <w:t>r ended December 31, 2010 from 27.0% for the year ended December 31, 2009 as a consequence of (i) a decrease in the portion of total sales represented by our supermarkets segment, which generally has higher cost of sales as a percentage of sales than other</w:t>
      </w:r>
      <w:r>
        <w:rPr>
          <w:rFonts w:ascii="Arial" w:hAnsi="Arial" w:cs="Arial"/>
        </w:rPr>
        <w:t xml:space="preserve"> segments, as described above in __Supermarket Cost of Sales,_ (ii) a decrease in our cost of sales as a percentage of sales for our supermarket, home improvement and department stores segments, and (iii) a decrease in cost of sales as a percentage of sale</w:t>
      </w:r>
      <w:r>
        <w:rPr>
          <w:rFonts w:ascii="Arial" w:hAnsi="Arial" w:cs="Arial"/>
        </w:rPr>
        <w:t xml:space="preserve">s in the financial services segment due to the reversal of loan loss provisions as a result of the 330 basis point decrease in the risk ratio of our loan portfolio in Chile attributable to improvements in economic conditions. </w:t>
      </w:r>
    </w:p>
    <w:p w:rsidR="00000000" w:rsidRDefault="003E5AFF">
      <w:pPr>
        <w:pStyle w:val="NormalWeb"/>
        <w:spacing w:before="240" w:beforeAutospacing="0" w:after="0" w:afterAutospacing="0"/>
      </w:pPr>
      <w:r>
        <w:rPr>
          <w:rFonts w:ascii="Arial" w:hAnsi="Arial" w:cs="Arial"/>
          <w:i/>
          <w:iCs/>
        </w:rPr>
        <w:t xml:space="preserve">Supermarkets </w:t>
      </w:r>
    </w:p>
    <w:p w:rsidR="00000000" w:rsidRDefault="003E5AFF">
      <w:pPr>
        <w:pStyle w:val="NormalWeb"/>
        <w:spacing w:before="120" w:beforeAutospacing="0" w:after="0" w:afterAutospacing="0"/>
      </w:pPr>
      <w:r>
        <w:rPr>
          <w:rFonts w:ascii="Arial" w:hAnsi="Arial" w:cs="Arial"/>
        </w:rPr>
        <w:t>Our consolidate</w:t>
      </w:r>
      <w:r>
        <w:rPr>
          <w:rFonts w:ascii="Arial" w:hAnsi="Arial" w:cs="Arial"/>
        </w:rPr>
        <w:t>d gross margin in our supermarkets segment increased 15.2%, or Ch$145,080 million, to Ch$1,096,963 million for the year ended December 31, 2010 from Ch$951,883 million for the year ended December 31, 2009, primarily due to (i) an increase of gross margin i</w:t>
      </w:r>
      <w:r>
        <w:rPr>
          <w:rFonts w:ascii="Arial" w:hAnsi="Arial" w:cs="Arial"/>
        </w:rPr>
        <w:t>n Chile of Ch$24,208 million resulting from an increase of 4.4% in sales and higher gross margin over sales of 0.5%, (ii) an increase of gross margin in Argentina of Ch$57,128 million resulting from an increase of 7.0% in sales and higher gross margin over</w:t>
      </w:r>
      <w:r>
        <w:rPr>
          <w:rFonts w:ascii="Arial" w:hAnsi="Arial" w:cs="Arial"/>
        </w:rPr>
        <w:t xml:space="preserve"> sales of 2.5%, (iii) an increase of gross margin in Brazil of Ch$57,442 million resulting from an increase of 48.9% in sales and lower gross margin over sales of 0.4%, and (iv) an increase of gross margin in Peru of Ch$6,302 million resulting from an incr</w:t>
      </w:r>
      <w:r>
        <w:rPr>
          <w:rFonts w:ascii="Arial" w:hAnsi="Arial" w:cs="Arial"/>
        </w:rPr>
        <w:t xml:space="preserve">ease of 1.6% in sales and higher gross margin over sales of 0.8%. </w:t>
      </w:r>
    </w:p>
    <w:p w:rsidR="00000000" w:rsidRDefault="003E5AFF">
      <w:pPr>
        <w:pStyle w:val="NormalWeb"/>
        <w:spacing w:before="240" w:beforeAutospacing="0" w:after="0" w:afterAutospacing="0"/>
      </w:pPr>
      <w:r>
        <w:rPr>
          <w:rFonts w:ascii="Arial" w:hAnsi="Arial" w:cs="Arial"/>
          <w:i/>
          <w:iCs/>
        </w:rPr>
        <w:t xml:space="preserve">Home improvement stores </w:t>
      </w:r>
    </w:p>
    <w:p w:rsidR="00000000" w:rsidRDefault="003E5AFF">
      <w:pPr>
        <w:pStyle w:val="NormalWeb"/>
        <w:spacing w:before="120" w:beforeAutospacing="0" w:after="0" w:afterAutospacing="0"/>
      </w:pPr>
      <w:r>
        <w:rPr>
          <w:rFonts w:ascii="Arial" w:hAnsi="Arial" w:cs="Arial"/>
        </w:rPr>
        <w:t>Our consolidated gross margin in our home improvement stores segment increased 28.5%, or Ch$57,481 million, to Ch$258,832 million for the year ended December 31, 20</w:t>
      </w:r>
      <w:r>
        <w:rPr>
          <w:rFonts w:ascii="Arial" w:hAnsi="Arial" w:cs="Arial"/>
        </w:rPr>
        <w:t>10 from Ch$201,351 million for the year ended December 31, 2009, primarily due to (i) an increase of gross margin in Chile of Ch$23,022 million resulting from an increase of 27.3% in sales and higher gross margin over sales of 1.0%, (ii) an increase of gro</w:t>
      </w:r>
      <w:r>
        <w:rPr>
          <w:rFonts w:ascii="Arial" w:hAnsi="Arial" w:cs="Arial"/>
        </w:rPr>
        <w:t xml:space="preserve">ss margin in Argentina of Ch$27,181 million resulting from an increase of 13.3% in sales and higher gross margin over sales of 2.3%, and (iii) an increase of gross margin in Colombia of Ch$7,278 million resulting from an increase of 247.4% in sales higher </w:t>
      </w:r>
      <w:r>
        <w:rPr>
          <w:rFonts w:ascii="Arial" w:hAnsi="Arial" w:cs="Arial"/>
        </w:rPr>
        <w:t xml:space="preserve">gross margin over sales of 3.4%. </w:t>
      </w:r>
    </w:p>
    <w:p w:rsidR="00000000" w:rsidRDefault="003E5AFF">
      <w:pPr>
        <w:pStyle w:val="NormalWeb"/>
        <w:spacing w:before="120" w:beforeAutospacing="0" w:after="0" w:afterAutospacing="0"/>
      </w:pPr>
      <w:r>
        <w:rPr>
          <w:rFonts w:ascii="Arial" w:hAnsi="Arial" w:cs="Arial"/>
        </w:rPr>
        <w:t xml:space="preserve">Our consolidated gross margin as a percentage of revenues from ordinary activities in our home improvement stores increased 1.6% for the year ended December 31, 2010 from 30.0% for the year ended December 31, 2009.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- 14</w:t>
      </w:r>
      <w:r>
        <w:rPr>
          <w:rFonts w:ascii="Arial" w:hAnsi="Arial" w:cs="Arial"/>
        </w:rPr>
        <w:t xml:space="preserve">1 - </w:t>
      </w:r>
    </w:p>
    <w:p w:rsidR="00000000" w:rsidRDefault="003E5AFF">
      <w:pPr>
        <w:rPr>
          <w:rFonts w:eastAsia="Times New Roman" w:cs="Times New Roman"/>
        </w:rPr>
      </w:pPr>
      <w:r>
        <w:rPr>
          <w:rFonts w:eastAsia="Times New Roman" w:cs="Times New Roman"/>
        </w:rPr>
        <w:pict>
          <v:rect id="_x0000_i1175" style="width:441.9pt;height:3pt" o:hralign="center" o:hrstd="t" o:hrnoshade="t" o:hr="t" fillcolor="#999" stroked="f"/>
        </w:pict>
      </w:r>
    </w:p>
    <w:p w:rsidR="00000000" w:rsidRDefault="003E5AFF">
      <w:pPr>
        <w:pStyle w:val="Heading5"/>
        <w:rPr>
          <w:rFonts w:eastAsia="Times New Roman" w:cs="Times New Roman"/>
        </w:rPr>
      </w:pPr>
      <w:hyperlink r:id="rId19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 xml:space="preserve">Department stores </w:t>
      </w:r>
    </w:p>
    <w:p w:rsidR="00000000" w:rsidRDefault="003E5AFF">
      <w:pPr>
        <w:pStyle w:val="NormalWeb"/>
        <w:spacing w:before="120" w:beforeAutospacing="0" w:after="0" w:afterAutospacing="0"/>
      </w:pPr>
      <w:r>
        <w:rPr>
          <w:rFonts w:ascii="Arial" w:hAnsi="Arial" w:cs="Arial"/>
        </w:rPr>
        <w:t>Our consolidated gross margin in our department stores segment in Chile increased 29.4%, or Ch$39,982 million, to Ch$175,950 million for the year ended December 31, 2010 from Ch$135,968 million for the year ended December 31, 2009, primarily due to improve</w:t>
      </w:r>
      <w:r>
        <w:rPr>
          <w:rFonts w:ascii="Arial" w:hAnsi="Arial" w:cs="Arial"/>
        </w:rPr>
        <w:t xml:space="preserve">d purchasing and merchandising processes that permitted lower markdowns on seasonal campaigns, increasing our inventory turnover. </w:t>
      </w:r>
    </w:p>
    <w:p w:rsidR="00000000" w:rsidRDefault="003E5AFF">
      <w:pPr>
        <w:pStyle w:val="NormalWeb"/>
        <w:spacing w:before="120" w:beforeAutospacing="0" w:after="0" w:afterAutospacing="0"/>
      </w:pPr>
      <w:r>
        <w:rPr>
          <w:rFonts w:ascii="Arial" w:hAnsi="Arial" w:cs="Arial"/>
        </w:rPr>
        <w:t>Our consolidated gross margin as a percentage of revenues from ordinary activities in our department stores in Chile increase</w:t>
      </w:r>
      <w:r>
        <w:rPr>
          <w:rFonts w:ascii="Arial" w:hAnsi="Arial" w:cs="Arial"/>
        </w:rPr>
        <w:t>d to 28.3% for the year ended December 31, 2010 from 26.3% for the year ended December 31, 2009, primarily as a result of improved purchasing terms with certain suppliers due to our ability to import directly from Asia and improved purchasing and merchandi</w:t>
      </w:r>
      <w:r>
        <w:rPr>
          <w:rFonts w:ascii="Arial" w:hAnsi="Arial" w:cs="Arial"/>
        </w:rPr>
        <w:t xml:space="preserve">sing processes that permitted lower markdowns on seasonal campaigns, increasing our inventory turnover. </w:t>
      </w:r>
    </w:p>
    <w:p w:rsidR="00000000" w:rsidRDefault="003E5AFF">
      <w:pPr>
        <w:pStyle w:val="NormalWeb"/>
        <w:spacing w:before="240" w:beforeAutospacing="0" w:after="0" w:afterAutospacing="0"/>
      </w:pPr>
      <w:r>
        <w:rPr>
          <w:rFonts w:ascii="Arial" w:hAnsi="Arial" w:cs="Arial"/>
          <w:i/>
          <w:iCs/>
        </w:rPr>
        <w:t xml:space="preserve">Shopping centers </w:t>
      </w:r>
    </w:p>
    <w:p w:rsidR="00000000" w:rsidRDefault="003E5AFF">
      <w:pPr>
        <w:pStyle w:val="NormalWeb"/>
        <w:spacing w:before="120" w:beforeAutospacing="0" w:after="0" w:afterAutospacing="0"/>
      </w:pPr>
      <w:r>
        <w:rPr>
          <w:rFonts w:ascii="Arial" w:hAnsi="Arial" w:cs="Arial"/>
        </w:rPr>
        <w:t>Our consolidated gross margin in our shopping centers segment increased 15.6%, or Ch$13,374 million, to Ch$99,133 million for the yea</w:t>
      </w:r>
      <w:r>
        <w:rPr>
          <w:rFonts w:ascii="Arial" w:hAnsi="Arial" w:cs="Arial"/>
        </w:rPr>
        <w:t>r ended December 31, 2010 from Ch$85,759 million for the year ended December 31, 2009, primarily as a result of (i) two new stores opening, one in Chile and one in Argentina, (ii) an increase of gross margin in Chile of Ch$5,796 million resulting from an i</w:t>
      </w:r>
      <w:r>
        <w:rPr>
          <w:rFonts w:ascii="Arial" w:hAnsi="Arial" w:cs="Arial"/>
        </w:rPr>
        <w:t>ncrease of 6.3% in sales and higher gross margin over sales of 5.5%, (iii) an increase of gross margin in Argentina of Ch$6,622 million resulting from an increase of 14.5% in sales and higher gross margin over sales of 2.7%, and (iv) an increase of gross m</w:t>
      </w:r>
      <w:r>
        <w:rPr>
          <w:rFonts w:ascii="Arial" w:hAnsi="Arial" w:cs="Arial"/>
        </w:rPr>
        <w:t xml:space="preserve">argin in Peru of Ch$956 million resulting from a decrease of 11.9% in sales and higher gross margin over sales of 18.6%. </w:t>
      </w:r>
    </w:p>
    <w:p w:rsidR="00000000" w:rsidRDefault="003E5AFF">
      <w:pPr>
        <w:pStyle w:val="NormalWeb"/>
        <w:spacing w:before="120" w:beforeAutospacing="0" w:after="0" w:afterAutospacing="0"/>
      </w:pPr>
      <w:r>
        <w:rPr>
          <w:rFonts w:ascii="Arial" w:hAnsi="Arial" w:cs="Arial"/>
        </w:rPr>
        <w:t xml:space="preserve">Our consolidated gross margin as a percentage of revenues from ordinary activities in our shopping centers segment increased to 84.7% </w:t>
      </w:r>
      <w:r>
        <w:rPr>
          <w:rFonts w:ascii="Arial" w:hAnsi="Arial" w:cs="Arial"/>
        </w:rPr>
        <w:t>for the year ended December 31, 2010 from 79.3% for the year ended December 31, 2009, primarily due to a decrease in our shopping center depreciation expense during this period as a result of the reclassification of certain assets in our shopping center op</w:t>
      </w:r>
      <w:r>
        <w:rPr>
          <w:rFonts w:ascii="Arial" w:hAnsi="Arial" w:cs="Arial"/>
        </w:rPr>
        <w:t>erations previously recorded as Property Plant and Equipment and accounted for at cost with a corresponding depreciation charge and transferred to investment properties, and accounted for at fair value in 2010. Additionally, in 2009, a portion of a decreas</w:t>
      </w:r>
      <w:r>
        <w:rPr>
          <w:rFonts w:ascii="Arial" w:hAnsi="Arial" w:cs="Arial"/>
        </w:rPr>
        <w:t xml:space="preserve">e in fair value of certain investment properties were classified as a depreciation charge instead of _other income by function._ These two effects in depreciation represent a 4.7% increase in gross margin in 2009 as compared to 2010. </w:t>
      </w:r>
    </w:p>
    <w:p w:rsidR="00000000" w:rsidRDefault="003E5AFF">
      <w:pPr>
        <w:pStyle w:val="NormalWeb"/>
        <w:spacing w:before="240" w:beforeAutospacing="0" w:after="0" w:afterAutospacing="0"/>
      </w:pPr>
      <w:r>
        <w:rPr>
          <w:rFonts w:ascii="Arial" w:hAnsi="Arial" w:cs="Arial"/>
          <w:i/>
          <w:iCs/>
        </w:rPr>
        <w:t xml:space="preserve">Financial services </w:t>
      </w:r>
    </w:p>
    <w:p w:rsidR="00000000" w:rsidRDefault="003E5AFF">
      <w:pPr>
        <w:pStyle w:val="NormalWeb"/>
        <w:spacing w:before="120" w:beforeAutospacing="0" w:after="0" w:afterAutospacing="0"/>
      </w:pPr>
      <w:r>
        <w:rPr>
          <w:rFonts w:ascii="Arial" w:hAnsi="Arial" w:cs="Arial"/>
        </w:rPr>
        <w:t xml:space="preserve">Our consolidated gross margin in our financial services segment increased 13.8%, or Ch$18,205 million, to Ch$150,552 million for the year ended December 31, 2010 from Ch$132,348 million for the year ended December 31, 2009, primarily as a result of (i) an </w:t>
      </w:r>
      <w:r>
        <w:rPr>
          <w:rFonts w:ascii="Arial" w:hAnsi="Arial" w:cs="Arial"/>
        </w:rPr>
        <w:t xml:space="preserve">increase of gross margin in Chile of Ch$18,788 million resulting from a decrease of 16.9% in sales and higher gross margin over sales of 19.2%, (ii) a decrease of gross margin in Argentina of Ch$1,247 million resulting from a decrease of 5.5% in sales and </w:t>
      </w:r>
      <w:r>
        <w:rPr>
          <w:rFonts w:ascii="Arial" w:hAnsi="Arial" w:cs="Arial"/>
        </w:rPr>
        <w:t>lower gross margin over sales of 6.3%, (iii) an increase of gross margin in Brazil of Ch$1,468 million resulting from a 34.1% increase in sales, and (iv) a decrease of gross margin in Peru of Ch$805 million resulting from a decrease of 14.4% in sales and d</w:t>
      </w:r>
      <w:r>
        <w:rPr>
          <w:rFonts w:ascii="Arial" w:hAnsi="Arial" w:cs="Arial"/>
        </w:rPr>
        <w:t xml:space="preserve">ue to lower gross margin over sales of 11.5%. </w:t>
      </w:r>
    </w:p>
    <w:p w:rsidR="00000000" w:rsidRDefault="003E5AFF">
      <w:pPr>
        <w:pStyle w:val="NormalWeb"/>
        <w:spacing w:before="120" w:beforeAutospacing="0" w:after="0" w:afterAutospacing="0"/>
      </w:pPr>
      <w:r>
        <w:rPr>
          <w:rFonts w:ascii="Arial" w:hAnsi="Arial" w:cs="Arial"/>
        </w:rPr>
        <w:t>As a result of the mentioned factors, our consolidated gross margin as a percentage of revenues from ordinary activities in our financial services segment increased 17.5% for the year ended December 31, 2010 f</w:t>
      </w:r>
      <w:r>
        <w:rPr>
          <w:rFonts w:ascii="Arial" w:hAnsi="Arial" w:cs="Arial"/>
        </w:rPr>
        <w:t xml:space="preserve">rom 50.7% for the year ended December 31, 2009.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- 142 - </w:t>
      </w:r>
    </w:p>
    <w:p w:rsidR="00000000" w:rsidRDefault="003E5AFF">
      <w:pPr>
        <w:rPr>
          <w:rFonts w:eastAsia="Times New Roman" w:cs="Times New Roman"/>
        </w:rPr>
      </w:pPr>
      <w:r>
        <w:rPr>
          <w:rFonts w:eastAsia="Times New Roman" w:cs="Times New Roman"/>
        </w:rPr>
        <w:pict>
          <v:rect id="_x0000_i1176" style="width:441.9pt;height:3pt" o:hralign="center" o:hrstd="t" o:hrnoshade="t" o:hr="t" fillcolor="#999" stroked="f"/>
        </w:pict>
      </w:r>
    </w:p>
    <w:p w:rsidR="00000000" w:rsidRDefault="003E5AFF">
      <w:pPr>
        <w:pStyle w:val="Heading5"/>
        <w:rPr>
          <w:rFonts w:eastAsia="Times New Roman" w:cs="Times New Roman"/>
        </w:rPr>
      </w:pPr>
      <w:hyperlink r:id="rId19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Other revenues by function </w:t>
      </w:r>
    </w:p>
    <w:p w:rsidR="00000000" w:rsidRDefault="003E5AFF">
      <w:pPr>
        <w:pStyle w:val="NormalWeb"/>
        <w:spacing w:before="120" w:beforeAutospacing="0" w:after="0" w:afterAutospacing="0"/>
      </w:pPr>
      <w:r>
        <w:rPr>
          <w:rFonts w:ascii="Arial" w:hAnsi="Arial" w:cs="Arial"/>
        </w:rPr>
        <w:t xml:space="preserve">Our consolidated other revenues by function increased by Ch$36,300 million, to Ch$43,871 million for the year ended December 31, 2010 from Ch$7,571 million for the same period in 2009, as a result of an increase in the value of </w:t>
      </w:r>
      <w:r>
        <w:rPr>
          <w:rFonts w:ascii="Arial" w:hAnsi="Arial" w:cs="Arial"/>
        </w:rPr>
        <w:t>investment properties in our shopping centers and land located in Chile, Argentina and Peru. The increase in fair value of investment properties is due primarily to: (i) higher fair value on Alto Las Condes, our major shopping center in Chile due to higher</w:t>
      </w:r>
      <w:r>
        <w:rPr>
          <w:rFonts w:ascii="Arial" w:hAnsi="Arial" w:cs="Arial"/>
        </w:rPr>
        <w:t xml:space="preserve"> gross leasable area (GLA), (ii) inflation, as revenues are positively affected by inflation, especially in Argentina, (iii) improved performance of our shopping center operations, from improved revenues associated with the growth, maturity and lower vacan</w:t>
      </w:r>
      <w:r>
        <w:rPr>
          <w:rFonts w:ascii="Arial" w:hAnsi="Arial" w:cs="Arial"/>
        </w:rPr>
        <w:t>cy rates, due to improved economic conditions following the economic crisis of 2008, and (iv) in Peru, the increase in the fair value of investment properties was mainly due to increased market value of our real estate properties. See Note 24.5 to our Audi</w:t>
      </w:r>
      <w:r>
        <w:rPr>
          <w:rFonts w:ascii="Arial" w:hAnsi="Arial" w:cs="Arial"/>
        </w:rPr>
        <w:t xml:space="preserve">ted Consolidated Financial Statements included elsewhere in this prospectus. </w:t>
      </w:r>
    </w:p>
    <w:p w:rsidR="00000000" w:rsidRDefault="003E5AFF">
      <w:pPr>
        <w:pStyle w:val="NormalWeb"/>
        <w:spacing w:before="240" w:beforeAutospacing="0" w:after="0" w:afterAutospacing="0"/>
      </w:pPr>
      <w:r>
        <w:rPr>
          <w:rFonts w:ascii="Arial" w:hAnsi="Arial" w:cs="Arial"/>
          <w:b/>
          <w:bCs/>
          <w:i/>
          <w:iCs/>
        </w:rPr>
        <w:t xml:space="preserve">Administrative expenses, distribution costs and other expenses </w:t>
      </w:r>
    </w:p>
    <w:p w:rsidR="00000000" w:rsidRDefault="003E5AFF">
      <w:pPr>
        <w:pStyle w:val="NormalWeb"/>
        <w:spacing w:before="120" w:beforeAutospacing="0" w:after="0" w:afterAutospacing="0"/>
      </w:pPr>
      <w:r>
        <w:rPr>
          <w:rFonts w:ascii="Arial" w:hAnsi="Arial" w:cs="Arial"/>
        </w:rPr>
        <w:t>Our consolidated administrative expenses, distribution costs and other expenses increased 13.8%, or Ch$166,338 mil</w:t>
      </w:r>
      <w:r>
        <w:rPr>
          <w:rFonts w:ascii="Arial" w:hAnsi="Arial" w:cs="Arial"/>
        </w:rPr>
        <w:t>lion, to Ch$1,371,074 million for the year ended December 31, 2010 from Ch$1,204,735 million for the year ended December 31, 2009, primarily as a result of an increase of 12.1% in revenues. As a percentage of revenues, our administrative expenses, distribu</w:t>
      </w:r>
      <w:r>
        <w:rPr>
          <w:rFonts w:ascii="Arial" w:hAnsi="Arial" w:cs="Arial"/>
        </w:rPr>
        <w:t>tion costs and other expenses increased to 22.0% for the year ended December 31, 2010 from 21.7% for the year ended December 31, 2009, primarily as a result of higher administrative expenses approximately in the amount of U.S.$7.3 million in connection wit</w:t>
      </w:r>
      <w:r>
        <w:rPr>
          <w:rFonts w:ascii="Arial" w:hAnsi="Arial" w:cs="Arial"/>
        </w:rPr>
        <w:t xml:space="preserve">h the launch of the Nectar loyalty program and the expansion of our credit card operations in Peru. </w:t>
      </w:r>
    </w:p>
    <w:p w:rsidR="00000000" w:rsidRDefault="003E5AFF">
      <w:pPr>
        <w:pStyle w:val="NormalWeb"/>
        <w:spacing w:before="240" w:beforeAutospacing="0" w:after="0" w:afterAutospacing="0"/>
      </w:pPr>
      <w:r>
        <w:rPr>
          <w:rFonts w:ascii="Arial" w:hAnsi="Arial" w:cs="Arial"/>
          <w:b/>
          <w:bCs/>
          <w:i/>
          <w:iCs/>
        </w:rPr>
        <w:t xml:space="preserve">Results from financial and other activities </w:t>
      </w:r>
    </w:p>
    <w:p w:rsidR="00000000" w:rsidRDefault="003E5AFF">
      <w:pPr>
        <w:pStyle w:val="NormalWeb"/>
        <w:spacing w:before="120" w:beforeAutospacing="0" w:after="0" w:afterAutospacing="0"/>
      </w:pPr>
      <w:r>
        <w:rPr>
          <w:rFonts w:ascii="Arial" w:hAnsi="Arial" w:cs="Arial"/>
        </w:rPr>
        <w:t>The following table presents, for the periods indicated, a breakdown of our consolidated results from financia</w:t>
      </w:r>
      <w:r>
        <w:rPr>
          <w:rFonts w:ascii="Arial" w:hAnsi="Arial" w:cs="Arial"/>
        </w:rPr>
        <w:t xml:space="preserve">l and other activities, as well as the percentage variation from period to period: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920"/>
        <w:gridCol w:w="137"/>
        <w:gridCol w:w="62"/>
        <w:gridCol w:w="752"/>
        <w:gridCol w:w="136"/>
        <w:gridCol w:w="136"/>
        <w:gridCol w:w="62"/>
        <w:gridCol w:w="752"/>
        <w:gridCol w:w="123"/>
        <w:gridCol w:w="136"/>
        <w:gridCol w:w="68"/>
        <w:gridCol w:w="899"/>
        <w:gridCol w:w="123"/>
      </w:tblGrid>
      <w:tr w:rsidR="00000000">
        <w:trPr>
          <w:jc w:val="center"/>
        </w:trPr>
        <w:tc>
          <w:tcPr>
            <w:tcW w:w="36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w:t>
            </w:r>
            <w:r>
              <w:rPr>
                <w:rFonts w:ascii="Arial" w:eastAsia="Times New Roman" w:hAnsi="Arial" w:cs="Arial"/>
                <w:b/>
                <w:bCs/>
              </w:rPr>
              <w:br/>
              <w:t>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Change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right"/>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Other earnings (losses)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10,772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69,997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Financial income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16,922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expense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(86,730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(93,422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Exchange differences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(Losses) gains from indexation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(15,567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tcBorders>
              <w:bottom w:val="single" w:sz="6" w:space="0" w:color="000000"/>
            </w:tcBorders>
            <w:hideMark/>
          </w:tcPr>
          <w:p w:rsidR="00000000" w:rsidRDefault="003E5AFF">
            <w:pPr>
              <w:pStyle w:val="NormalWeb"/>
              <w:ind w:left="480" w:hanging="240"/>
            </w:pPr>
            <w:r>
              <w:rPr>
                <w:rFonts w:ascii="Arial" w:hAnsi="Arial" w:cs="Arial"/>
              </w:rPr>
              <w:t>Total gains (losses) from financial and other activities</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(76,745</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(11,062</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ascii="Arial" w:eastAsia="Times New Roman" w:hAnsi="Arial" w:cs="Arial"/>
              </w:rPr>
              <w:t> </w:t>
            </w:r>
          </w:p>
        </w:tc>
        <w:tc>
          <w:tcPr>
            <w:tcW w:w="0" w:type="auto"/>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rPr>
              <w:t>(593.8%</w:t>
            </w:r>
          </w:p>
        </w:tc>
        <w:tc>
          <w:tcPr>
            <w:tcW w:w="0" w:type="auto"/>
            <w:tcBorders>
              <w:bottom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r>
    </w:tbl>
    <w:p w:rsidR="00000000" w:rsidRDefault="003E5AFF">
      <w:pPr>
        <w:pStyle w:val="NormalWeb"/>
        <w:spacing w:before="120" w:beforeAutospacing="0" w:after="0" w:afterAutospacing="0"/>
      </w:pPr>
      <w:r>
        <w:rPr>
          <w:rFonts w:ascii="Arial" w:hAnsi="Arial" w:cs="Arial"/>
        </w:rPr>
        <w:t>Our consolidated losses from financial and other activities increased 593.8%, or Ch$65,683 million, to a loss of Ch$76,745 million for the year ended December 31, 2010 from a loss of Ch$11,062 million for the year ended December 31, 2009. This increase was</w:t>
      </w:r>
      <w:r>
        <w:rPr>
          <w:rFonts w:ascii="Arial" w:hAnsi="Arial" w:cs="Arial"/>
        </w:rPr>
        <w:t xml:space="preserve"> primarily due to the following factors: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Our gains from indexation decreased Ch$28,614 million, to a loss of Ch$15,657 million for the year ended December 31, 2010 compared to a gain of Ch$12,957 million for the same period in 2009.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- 143 - </w:t>
      </w:r>
    </w:p>
    <w:p w:rsidR="00000000" w:rsidRDefault="003E5AFF">
      <w:pPr>
        <w:rPr>
          <w:rFonts w:eastAsia="Times New Roman" w:cs="Times New Roman"/>
        </w:rPr>
      </w:pPr>
      <w:r>
        <w:rPr>
          <w:rFonts w:eastAsia="Times New Roman" w:cs="Times New Roman"/>
        </w:rPr>
        <w:pict>
          <v:rect id="_x0000_i1177" style="width:441.9pt;height:3pt" o:hralign="center" o:hrstd="t" o:hrnoshade="t" o:hr="t" fillcolor="#999" stroked="f"/>
        </w:pict>
      </w:r>
    </w:p>
    <w:p w:rsidR="00000000" w:rsidRDefault="003E5AFF">
      <w:pPr>
        <w:pStyle w:val="Heading5"/>
        <w:rPr>
          <w:rFonts w:eastAsia="Times New Roman" w:cs="Times New Roman"/>
        </w:rPr>
      </w:pPr>
      <w:hyperlink r:id="rId194"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Our other earnin</w:t>
            </w:r>
            <w:r>
              <w:rPr>
                <w:rFonts w:ascii="Arial" w:hAnsi="Arial" w:cs="Arial"/>
              </w:rPr>
              <w:t xml:space="preserve">gs decreased Ch$59,225 million, to Ch$10,772 million for the year ended December 31, 2010 from Ch$69,997 million for the same period in 2009, as a result of fair value gains associated with the put option related to the Wong acquisition;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decrease of financial expenses of Ch$6,693 million., to Ch$(86,730) million for the year ended December 31, 2010 from Ch$(93,422) million for the same period in 2009, as a result of a lower amount of interest-bearing debt. </w:t>
            </w:r>
          </w:p>
        </w:tc>
      </w:tr>
    </w:tbl>
    <w:p w:rsidR="00000000" w:rsidRDefault="003E5AFF">
      <w:pPr>
        <w:pStyle w:val="NormalWeb"/>
        <w:spacing w:before="240" w:beforeAutospacing="0" w:after="0" w:afterAutospacing="0"/>
      </w:pPr>
      <w:r>
        <w:rPr>
          <w:rFonts w:ascii="Arial" w:hAnsi="Arial" w:cs="Arial"/>
          <w:b/>
          <w:bCs/>
          <w:i/>
          <w:iCs/>
        </w:rPr>
        <w:t xml:space="preserve">Income tax charge </w:t>
      </w:r>
    </w:p>
    <w:p w:rsidR="00000000" w:rsidRDefault="003E5AFF">
      <w:pPr>
        <w:pStyle w:val="NormalWeb"/>
        <w:spacing w:before="120" w:beforeAutospacing="0" w:after="0" w:afterAutospacing="0"/>
      </w:pPr>
      <w:r>
        <w:rPr>
          <w:rFonts w:ascii="Arial" w:hAnsi="Arial" w:cs="Arial"/>
        </w:rPr>
        <w:t>For the yea</w:t>
      </w:r>
      <w:r>
        <w:rPr>
          <w:rFonts w:ascii="Arial" w:hAnsi="Arial" w:cs="Arial"/>
        </w:rPr>
        <w:t>r ended December 31, 2010, we had an income tax expense of Ch$76,830 million, compared to an income tax expense of Ch$53,900 million for the year ended December 31, 2009. This increase of Ch$22,930 million primarily reflected the higher taxable income of C</w:t>
      </w:r>
      <w:r>
        <w:rPr>
          <w:rFonts w:ascii="Arial" w:hAnsi="Arial" w:cs="Arial"/>
        </w:rPr>
        <w:t xml:space="preserve">h$383,311 million for the year ended December 31, 2010 compared to Ch$301,446 million for the same period in 2009, and the growth of our operations in Brazil, which has a higher tax rate than Chile. </w:t>
      </w:r>
    </w:p>
    <w:p w:rsidR="00000000" w:rsidRDefault="003E5AFF">
      <w:pPr>
        <w:pStyle w:val="NormalWeb"/>
        <w:spacing w:before="240" w:beforeAutospacing="0" w:after="0" w:afterAutospacing="0"/>
      </w:pPr>
      <w:r>
        <w:rPr>
          <w:rFonts w:ascii="Arial" w:hAnsi="Arial" w:cs="Arial"/>
          <w:b/>
          <w:bCs/>
          <w:i/>
          <w:iCs/>
        </w:rPr>
        <w:t>Profit (loss) attributable to non-controlling shareholde</w:t>
      </w:r>
      <w:r>
        <w:rPr>
          <w:rFonts w:ascii="Arial" w:hAnsi="Arial" w:cs="Arial"/>
          <w:b/>
          <w:bCs/>
          <w:i/>
          <w:iCs/>
        </w:rPr>
        <w:t xml:space="preserve">rs </w:t>
      </w:r>
    </w:p>
    <w:p w:rsidR="00000000" w:rsidRDefault="003E5AFF">
      <w:pPr>
        <w:pStyle w:val="NormalWeb"/>
        <w:spacing w:before="120" w:beforeAutospacing="0" w:after="0" w:afterAutospacing="0"/>
      </w:pPr>
      <w:r>
        <w:rPr>
          <w:rFonts w:ascii="Arial" w:hAnsi="Arial" w:cs="Arial"/>
        </w:rPr>
        <w:t>As a result of the above factors, our net income increased 21.6%, or Ch$52,664 million, to Ch$296,261 million for the year ended December 31, 2010 from Ch$243,597 million for the year ended December 31, 2009. Our net income, as a percentage of revenues</w:t>
      </w:r>
      <w:r>
        <w:rPr>
          <w:rFonts w:ascii="Arial" w:hAnsi="Arial" w:cs="Arial"/>
        </w:rPr>
        <w:t xml:space="preserve"> from ordinary activities, increased to 4.8% for the year ended December 31, 2010 from 4.4% for the year ended December 31, 2009. </w:t>
      </w:r>
    </w:p>
    <w:p w:rsidR="00000000" w:rsidRDefault="003E5AFF">
      <w:pPr>
        <w:pStyle w:val="NormalWeb"/>
        <w:spacing w:before="240" w:beforeAutospacing="0" w:after="0" w:afterAutospacing="0"/>
      </w:pPr>
      <w:r>
        <w:rPr>
          <w:rFonts w:ascii="Arial" w:hAnsi="Arial" w:cs="Arial"/>
          <w:b/>
          <w:bCs/>
          <w:sz w:val="24"/>
          <w:szCs w:val="24"/>
        </w:rPr>
        <w:t xml:space="preserve">Liquidity and capital resources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 xml:space="preserve">Our principal sources of liquidity have historically been: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cash generated by operations;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short-term credit extended by suppliers;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cash from borrowings and financing arrangements; and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financing provided to us by sellers of businesses we have acquired. </w:t>
            </w:r>
          </w:p>
        </w:tc>
      </w:tr>
    </w:tbl>
    <w:p w:rsidR="00000000" w:rsidRDefault="003E5AFF">
      <w:pPr>
        <w:pStyle w:val="NormalWeb"/>
        <w:spacing w:before="120" w:beforeAutospacing="0" w:after="0" w:afterAutospacing="0"/>
      </w:pPr>
      <w:r>
        <w:rPr>
          <w:rFonts w:ascii="Arial" w:hAnsi="Arial" w:cs="Arial"/>
        </w:rPr>
        <w:t xml:space="preserve">Our principal cash requirements or uses (other than in connection with our operating activities) have historically been: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acquisition of, or investments in, companies engaged in the retail business; and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capital expenditures for property, plant and equipment. </w:t>
            </w:r>
          </w:p>
        </w:tc>
      </w:tr>
    </w:tbl>
    <w:p w:rsidR="00000000" w:rsidRDefault="003E5AFF">
      <w:pPr>
        <w:pStyle w:val="NormalWeb"/>
        <w:spacing w:before="120" w:beforeAutospacing="0" w:after="0" w:afterAutospacing="0"/>
      </w:pPr>
      <w:r>
        <w:rPr>
          <w:rFonts w:ascii="Arial" w:hAnsi="Arial" w:cs="Arial"/>
        </w:rPr>
        <w:t>At March 31, 2012 we had a working capital (defined as total current assets, excluding cash and cash equivalents and other financial assets, minus total short-term liabilities, excluding other curren</w:t>
      </w:r>
      <w:r>
        <w:rPr>
          <w:rFonts w:ascii="Arial" w:hAnsi="Arial" w:cs="Arial"/>
        </w:rPr>
        <w:t xml:space="preserve">t financial liabilities) of Ch$90,373 million. </w:t>
      </w:r>
    </w:p>
    <w:p w:rsidR="00000000" w:rsidRDefault="003E5AFF">
      <w:pPr>
        <w:pStyle w:val="NormalWeb"/>
        <w:spacing w:before="120" w:beforeAutospacing="0" w:after="0" w:afterAutospacing="0"/>
      </w:pPr>
      <w:r>
        <w:rPr>
          <w:rFonts w:ascii="Arial" w:hAnsi="Arial" w:cs="Arial"/>
        </w:rPr>
        <w:t>At December 31, 2011, we had a negative working capital (defined as total current assets, excluding cash and cash equivalents and other financial assets, minus total short-term liabilities, excluding other cu</w:t>
      </w:r>
      <w:r>
        <w:rPr>
          <w:rFonts w:ascii="Arial" w:hAnsi="Arial" w:cs="Arial"/>
        </w:rPr>
        <w:t xml:space="preserve">rrent financial liabilities) of Ch$20,876 million. </w:t>
      </w:r>
    </w:p>
    <w:p w:rsidR="00000000" w:rsidRDefault="003E5AFF">
      <w:pPr>
        <w:pStyle w:val="NormalWeb"/>
        <w:spacing w:before="120" w:beforeAutospacing="0" w:after="0" w:afterAutospacing="0"/>
      </w:pPr>
      <w:r>
        <w:rPr>
          <w:rFonts w:ascii="Arial" w:hAnsi="Arial" w:cs="Arial"/>
        </w:rPr>
        <w:t>At December 31, 2010, we had negative working capital of Ch$50,373 million. At December 31, 2009, we had negative working capital of Ch$147,048 million. At December 31, 2008, we had positive working capit</w:t>
      </w:r>
      <w:r>
        <w:rPr>
          <w:rFonts w:ascii="Arial" w:hAnsi="Arial" w:cs="Arial"/>
        </w:rPr>
        <w:t xml:space="preserve">al of Ch$147,140 million. This reflects a common source of liquidity within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- 144 - </w:t>
      </w:r>
    </w:p>
    <w:p w:rsidR="00000000" w:rsidRDefault="003E5AFF">
      <w:pPr>
        <w:rPr>
          <w:rFonts w:eastAsia="Times New Roman" w:cs="Times New Roman"/>
        </w:rPr>
      </w:pPr>
      <w:r>
        <w:rPr>
          <w:rFonts w:eastAsia="Times New Roman" w:cs="Times New Roman"/>
        </w:rPr>
        <w:pict>
          <v:rect id="_x0000_i1178" style="width:441.9pt;height:3pt" o:hralign="center" o:hrstd="t" o:hrnoshade="t" o:hr="t" fillcolor="#999" stroked="f"/>
        </w:pict>
      </w:r>
    </w:p>
    <w:p w:rsidR="00000000" w:rsidRDefault="003E5AFF">
      <w:pPr>
        <w:pStyle w:val="Heading5"/>
        <w:rPr>
          <w:rFonts w:eastAsia="Times New Roman" w:cs="Times New Roman"/>
        </w:rPr>
      </w:pPr>
      <w:hyperlink r:id="rId19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retail business where non-interest bearing credit is extended by suppliers in the form of deferred payment terms to finance the ret</w:t>
      </w:r>
      <w:r>
        <w:rPr>
          <w:rFonts w:ascii="Arial" w:hAnsi="Arial" w:cs="Arial"/>
        </w:rPr>
        <w:t xml:space="preserve">ailer_s operations, including inventories and account receivables. </w:t>
      </w:r>
    </w:p>
    <w:p w:rsidR="00000000" w:rsidRDefault="003E5AFF">
      <w:pPr>
        <w:pStyle w:val="NormalWeb"/>
        <w:spacing w:before="120" w:beforeAutospacing="0" w:after="0" w:afterAutospacing="0"/>
      </w:pPr>
      <w:r>
        <w:rPr>
          <w:rFonts w:ascii="Arial" w:hAnsi="Arial" w:cs="Arial"/>
        </w:rPr>
        <w:t>We believe that our cash from operations, current financing initiatives and cash and cash equivalents are sufficient to satisfy our capital expenditures and debt service obligations in 201</w:t>
      </w:r>
      <w:r>
        <w:rPr>
          <w:rFonts w:ascii="Arial" w:hAnsi="Arial" w:cs="Arial"/>
        </w:rPr>
        <w:t xml:space="preserve">2 and 2013. We anticipate financing any future acquisitions or capital expenditures for property, plant and equipment with cash from operations, proceeds from the global offering and additional indebtedness. </w:t>
      </w:r>
    </w:p>
    <w:p w:rsidR="00000000" w:rsidRDefault="003E5AFF">
      <w:pPr>
        <w:pStyle w:val="NormalWeb"/>
        <w:spacing w:before="240" w:beforeAutospacing="0" w:after="0" w:afterAutospacing="0"/>
      </w:pPr>
      <w:r>
        <w:rPr>
          <w:rFonts w:ascii="Arial" w:hAnsi="Arial" w:cs="Arial"/>
          <w:b/>
          <w:bCs/>
          <w:i/>
          <w:iCs/>
        </w:rPr>
        <w:t xml:space="preserve">Seasonality </w:t>
      </w:r>
    </w:p>
    <w:p w:rsidR="00000000" w:rsidRDefault="003E5AFF">
      <w:pPr>
        <w:pStyle w:val="NormalWeb"/>
        <w:spacing w:before="120" w:beforeAutospacing="0" w:after="0" w:afterAutospacing="0"/>
      </w:pPr>
      <w:r>
        <w:rPr>
          <w:rFonts w:ascii="Arial" w:hAnsi="Arial" w:cs="Arial"/>
        </w:rPr>
        <w:t xml:space="preserve">Historically, we have experienced </w:t>
      </w:r>
      <w:r>
        <w:rPr>
          <w:rFonts w:ascii="Arial" w:hAnsi="Arial" w:cs="Arial"/>
        </w:rPr>
        <w:t xml:space="preserve">distinct seasonal patterns to our liquidity needs, which are highest in the first and second quarters of our fiscal year. Liquidity needs are higher in the first quarter primarily because payment becomes due for goods purchased in the previous quarter for </w:t>
      </w:r>
      <w:r>
        <w:rPr>
          <w:rFonts w:ascii="Arial" w:hAnsi="Arial" w:cs="Arial"/>
        </w:rPr>
        <w:t xml:space="preserve">the Christmas and New Year holidays. We also experience greater liquidity needs in the second quarter, as dividends and taxes are paid during this period. </w:t>
      </w:r>
    </w:p>
    <w:p w:rsidR="00000000" w:rsidRDefault="003E5AFF">
      <w:pPr>
        <w:pStyle w:val="NormalWeb"/>
        <w:spacing w:before="120" w:beforeAutospacing="0" w:after="0" w:afterAutospacing="0"/>
      </w:pPr>
      <w:r>
        <w:rPr>
          <w:rFonts w:ascii="Arial" w:hAnsi="Arial" w:cs="Arial"/>
        </w:rPr>
        <w:t>During the periods when we have increased liquidity needs, we obtain funding primarily through short</w:t>
      </w:r>
      <w:r>
        <w:rPr>
          <w:rFonts w:ascii="Arial" w:hAnsi="Arial" w:cs="Arial"/>
        </w:rPr>
        <w:t xml:space="preserve">-term bank borrowings, overdraft lines of credit and by reducing our cash outflows, primarily by reducing or suspending advance payments to suppliers. </w:t>
      </w:r>
    </w:p>
    <w:p w:rsidR="00000000" w:rsidRDefault="003E5AFF">
      <w:pPr>
        <w:pStyle w:val="NormalWeb"/>
        <w:spacing w:before="240" w:beforeAutospacing="0" w:after="0" w:afterAutospacing="0"/>
      </w:pPr>
      <w:r>
        <w:rPr>
          <w:rFonts w:ascii="Arial" w:hAnsi="Arial" w:cs="Arial"/>
          <w:b/>
          <w:bCs/>
          <w:i/>
          <w:iCs/>
        </w:rPr>
        <w:t xml:space="preserve">Indebtedness </w:t>
      </w:r>
    </w:p>
    <w:p w:rsidR="00000000" w:rsidRDefault="003E5AFF">
      <w:pPr>
        <w:pStyle w:val="NormalWeb"/>
        <w:spacing w:before="120" w:beforeAutospacing="0" w:after="0" w:afterAutospacing="0"/>
      </w:pPr>
      <w:r>
        <w:rPr>
          <w:rFonts w:ascii="Arial" w:hAnsi="Arial" w:cs="Arial"/>
        </w:rPr>
        <w:t>At March 31, 2012, our total consolidated short-term debt was Ch$ 874,461 million, and our</w:t>
      </w:r>
      <w:r>
        <w:rPr>
          <w:rFonts w:ascii="Arial" w:hAnsi="Arial" w:cs="Arial"/>
        </w:rPr>
        <w:t xml:space="preserve"> total consolidated long-term debt was Ch$ 1,889,382 million. </w:t>
      </w:r>
    </w:p>
    <w:p w:rsidR="00000000" w:rsidRDefault="003E5AFF">
      <w:pPr>
        <w:pStyle w:val="NormalWeb"/>
        <w:spacing w:before="120" w:beforeAutospacing="0" w:after="0" w:afterAutospacing="0"/>
      </w:pPr>
      <w:r>
        <w:rPr>
          <w:rFonts w:ascii="Arial" w:hAnsi="Arial" w:cs="Arial"/>
        </w:rPr>
        <w:t>Our total financial debt includes both fixed-rate and variable-rate debt. Taking into account the effects of cross currency swaps, at March 31, 2012, approximately 44.0% of our debt was variabl</w:t>
      </w:r>
      <w:r>
        <w:rPr>
          <w:rFonts w:ascii="Arial" w:hAnsi="Arial" w:cs="Arial"/>
        </w:rPr>
        <w:t>e-rate, and the remainder was fixed-rate. At March 31, 2012, approximately 9.0% of our debt was denominated in U.S. dollars, approximately 28.0% in UF, approximately 50.0% in Chilean pesos, approximately 2.0% in Argentinian pesos, approximately 6.0% in Per</w:t>
      </w:r>
      <w:r>
        <w:rPr>
          <w:rFonts w:ascii="Arial" w:hAnsi="Arial" w:cs="Arial"/>
        </w:rPr>
        <w:t>uvian nuevos soles and approximately 5.0% in Brazilian reais. As part of our financial management policies, from time to time we enter into swaps and other derivative transactions to hedge our interest rate and exchange rate risk. See __Quantitative and Qu</w:t>
      </w:r>
      <w:r>
        <w:rPr>
          <w:rFonts w:ascii="Arial" w:hAnsi="Arial" w:cs="Arial"/>
        </w:rPr>
        <w:t xml:space="preserve">alitative Disclosure About Market Risk._ Our strategy is to hold the majority of our debt in local currencies, with a target ratio of debt denominated in foreign currency of 10% of our total debt. </w:t>
      </w:r>
    </w:p>
    <w:p w:rsidR="00000000" w:rsidRDefault="003E5AFF">
      <w:pPr>
        <w:pStyle w:val="NormalWeb"/>
        <w:spacing w:before="120" w:beforeAutospacing="0" w:after="0" w:afterAutospacing="0"/>
      </w:pPr>
      <w:r>
        <w:rPr>
          <w:rFonts w:ascii="Arial" w:hAnsi="Arial" w:cs="Arial"/>
        </w:rPr>
        <w:t>In order to fund our growth plans, improve our amortizatio</w:t>
      </w:r>
      <w:r>
        <w:rPr>
          <w:rFonts w:ascii="Arial" w:hAnsi="Arial" w:cs="Arial"/>
        </w:rPr>
        <w:t xml:space="preserve">n profile and reduce our cost of debt, in 2011 we issued U.S.$750 million aggregate principal amount of bonds due 2021 in a 144A/Reg-S offering in the international capital market, with a fixed interest rate of 5.5% (the _144A/Reg-S Bond_). We have hedged </w:t>
      </w:r>
      <w:r>
        <w:rPr>
          <w:rFonts w:ascii="Arial" w:hAnsi="Arial" w:cs="Arial"/>
        </w:rPr>
        <w:t>the currency risk associated with this issuance through cross-currency swaps with a nominal amount of U.S.$535 million. Additionally, in June 2011, we issued in the Chilean debt capital market Ch$54,000 million aggregate principal amount of bonds due 2031,</w:t>
      </w:r>
      <w:r>
        <w:rPr>
          <w:rFonts w:ascii="Arial" w:hAnsi="Arial" w:cs="Arial"/>
        </w:rPr>
        <w:t xml:space="preserve"> with a fixed interest rate of 7.40%. This was the first bond issuance in the Chilean market in Chilean pesos with a term of maturity of 20 years, the longest term ever in the history of the Chilean debt capital markets. As a result of these issuances, we </w:t>
      </w:r>
      <w:r>
        <w:rPr>
          <w:rFonts w:ascii="Arial" w:hAnsi="Arial" w:cs="Arial"/>
        </w:rPr>
        <w:t>were able to extend the duration of our debt (from approximately 4.8 years at the end of 2010 to over 7.5 years at the end of 2011) and streamline our debt amortization schedule. In addition, in 2009 and 2008 we issued in the local Chilean market UF15.0 mi</w:t>
      </w:r>
      <w:r>
        <w:rPr>
          <w:rFonts w:ascii="Arial" w:hAnsi="Arial" w:cs="Arial"/>
        </w:rPr>
        <w:t xml:space="preserve">llion of bonds due between 2015 and 2030 with fixed interest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- 145 - </w:t>
      </w:r>
    </w:p>
    <w:p w:rsidR="00000000" w:rsidRDefault="003E5AFF">
      <w:pPr>
        <w:rPr>
          <w:rFonts w:eastAsia="Times New Roman" w:cs="Times New Roman"/>
        </w:rPr>
      </w:pPr>
      <w:r>
        <w:rPr>
          <w:rFonts w:eastAsia="Times New Roman" w:cs="Times New Roman"/>
        </w:rPr>
        <w:pict>
          <v:rect id="_x0000_i1179" style="width:441.9pt;height:3pt" o:hralign="center" o:hrstd="t" o:hrnoshade="t" o:hr="t" fillcolor="#999" stroked="f"/>
        </w:pict>
      </w:r>
    </w:p>
    <w:p w:rsidR="00000000" w:rsidRDefault="003E5AFF">
      <w:pPr>
        <w:pStyle w:val="Heading5"/>
        <w:rPr>
          <w:rFonts w:eastAsia="Times New Roman" w:cs="Times New Roman"/>
        </w:rPr>
      </w:pPr>
      <w:hyperlink r:id="rId19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rates ranging from 3.5% to 5.7% per annum and Ch$30.0 billion of bonds due on 2014 with a fixed interest rate of 7.0%. We also issued in the Peruvian market S/.410.0 million of bonds due 2017 and 2018 with fixed</w:t>
      </w:r>
      <w:r>
        <w:rPr>
          <w:rFonts w:ascii="Arial" w:hAnsi="Arial" w:cs="Arial"/>
        </w:rPr>
        <w:t xml:space="preserve"> interest rates ranging from 7.19% to 7.63%. </w:t>
      </w:r>
    </w:p>
    <w:p w:rsidR="00000000" w:rsidRDefault="003E5AFF">
      <w:pPr>
        <w:pStyle w:val="NormalWeb"/>
        <w:spacing w:before="120" w:beforeAutospacing="0" w:after="0" w:afterAutospacing="0"/>
      </w:pPr>
      <w:r>
        <w:rPr>
          <w:rFonts w:ascii="Arial" w:hAnsi="Arial" w:cs="Arial"/>
        </w:rPr>
        <w:t>During 2011, we have made payments and pre-payments of approximately U.S.$754 million on our outstanding debt. We used funds from our 2011 international bond offering to refinance our amortizations due in 2011,</w:t>
      </w:r>
      <w:r>
        <w:rPr>
          <w:rFonts w:ascii="Arial" w:hAnsi="Arial" w:cs="Arial"/>
        </w:rPr>
        <w:t xml:space="preserve"> 2012 and 2013. At March 31, 2012, our principal bank credit facilities and bonds (including interest) consisted of the following: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153"/>
        <w:gridCol w:w="120"/>
        <w:gridCol w:w="103"/>
        <w:gridCol w:w="776"/>
        <w:gridCol w:w="112"/>
        <w:gridCol w:w="121"/>
        <w:gridCol w:w="56"/>
        <w:gridCol w:w="1718"/>
        <w:gridCol w:w="267"/>
        <w:gridCol w:w="121"/>
        <w:gridCol w:w="56"/>
        <w:gridCol w:w="1113"/>
        <w:gridCol w:w="112"/>
        <w:gridCol w:w="121"/>
        <w:gridCol w:w="88"/>
        <w:gridCol w:w="1157"/>
        <w:gridCol w:w="112"/>
      </w:tblGrid>
      <w:tr w:rsidR="00000000">
        <w:trPr>
          <w:jc w:val="center"/>
        </w:trPr>
        <w:tc>
          <w:tcPr>
            <w:tcW w:w="22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As of March 31, 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ascii="Arial" w:eastAsia="Times New Roman" w:hAnsi="Arial" w:cs="Arial"/>
                <w:b/>
                <w:bCs/>
              </w:rPr>
              <w:t>Currency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Interest rate</w:t>
            </w:r>
            <w:r>
              <w:rPr>
                <w:rFonts w:ascii="Arial" w:eastAsia="Times New Roman" w:hAnsi="Arial" w:cs="Arial"/>
                <w:b/>
                <w:bCs/>
              </w:rPr>
              <w:br/>
              <w:t>structure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Amount</w:t>
            </w:r>
            <w:r>
              <w:rPr>
                <w:rFonts w:ascii="Arial" w:eastAsia="Times New Roman" w:hAnsi="Arial" w:cs="Arial"/>
                <w:b/>
                <w:bCs/>
              </w:rPr>
              <w:br/>
              <w:t>outstanding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pStyle w:val="NormalWeb"/>
              <w:spacing w:before="0" w:beforeAutospacing="0" w:after="0" w:afterAutospacing="0"/>
              <w:jc w:val="right"/>
            </w:pPr>
            <w:r>
              <w:rPr>
                <w:rFonts w:ascii="Arial" w:hAnsi="Arial" w:cs="Arial"/>
                <w:b/>
                <w:bCs/>
              </w:rPr>
              <w:t>Maturity date</w:t>
            </w:r>
          </w:p>
          <w:p w:rsidR="00000000" w:rsidRDefault="003E5AFF">
            <w:pPr>
              <w:pStyle w:val="NormalWeb"/>
              <w:spacing w:before="0" w:beforeAutospacing="0" w:after="15" w:afterAutospacing="0"/>
              <w:jc w:val="right"/>
            </w:pPr>
            <w:r>
              <w:rPr>
                <w:rFonts w:ascii="Arial" w:hAnsi="Arial" w:cs="Arial"/>
                <w:b/>
                <w:bCs/>
              </w:rPr>
              <w:t>(DD-MM-YY)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(in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Banks: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u w:val="single"/>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del Estado de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TAB 90 + 0.35%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163,177,591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29-06-2015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Bilbao Vizcaya Argentaria 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TAB 180 + 0.35%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72,164,620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02-08-2015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ITAU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TAB 180 + 0.45%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52,948,283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07-10-2014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ITAU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TAB 180 + 0.45%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52,948,283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07-10-2014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del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TAB 180 + 0.30%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102,571,470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12-10-2015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de Credito e Inversiones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TAB 180 + 0.55%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52,918,336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13-10-2015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Argentaria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TAB 180 + 0.40%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144,252,694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07-09-2017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BICE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TAB 180 + 0.60%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39,110,397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14-09-2016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Santander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ICP + 1.85% (TNA)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67,601,295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20-09-2016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Santander 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TAB 90 + 0.40%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266,497,607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31-12-2012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Argentaria 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CLP</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ICP + 1.85% (TNA)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205,828,410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13-03-2013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Rabobank</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50,960,260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04-10-2018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Scotiabank</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LIBOR 180 + 1.5%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100,945,126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21-10-2017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Syndicated Loan_Gbarbosa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LIBOR 90 + 0.55%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150,237,448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11-01-2013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u w:val="single"/>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Banco Bilbao Vizcaya New York</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Libor 90 + 2.00%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25,076,178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16-11-2015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New York</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Libor 90 + 2.00%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15,045,707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16-11-2015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Bilbao Vizcaya Argentaria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20,082,972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04-09-2017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Argentaria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20,082,972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04-09-2017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Bank Of Tokio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Libor 90 + 2.60%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35,008,962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28-03-2017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(Leasing)</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905,692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02-09-2013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Bilbao Vizcaya (Leasing)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1,617,645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02-04-2010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(Leasing)</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299,619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28-10-2013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Bilbao Vizcaya (Leasing)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3,217,962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30-08-2013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BCP</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26,590,368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07-01-2019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Bilbao Vizcaya (Leasing)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2,178,924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28-02-2014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(Leasing)</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1,775,737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30-04-2014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Bilbao Vizcaya (Leasing)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1,900,670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30-04-2014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(Leasing)</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946,087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30-05-2014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Bilbao Vizcaya (Leasing)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656,825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26-06-2014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(Leasing)</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1,337,947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22-09-2014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Bilbao Vizcaya (Leasing)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969,361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02-10-2014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(Leasing)</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1,694,623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02-12-2014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Scotiabank</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16,106,710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27-12-2017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Bilbao Vizcaya (Leasing)</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1,572,461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02-03-2017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- 146 - </w:t>
      </w:r>
    </w:p>
    <w:p w:rsidR="00000000" w:rsidRDefault="003E5AFF">
      <w:pPr>
        <w:rPr>
          <w:rFonts w:eastAsia="Times New Roman" w:cs="Times New Roman"/>
        </w:rPr>
      </w:pPr>
      <w:r>
        <w:rPr>
          <w:rFonts w:eastAsia="Times New Roman" w:cs="Times New Roman"/>
        </w:rPr>
        <w:pict>
          <v:rect id="_x0000_i1180" style="width:441.9pt;height:3pt" o:hralign="center" o:hrstd="t" o:hrnoshade="t" o:hr="t" fillcolor="#999" stroked="f"/>
        </w:pict>
      </w:r>
    </w:p>
    <w:p w:rsidR="00000000" w:rsidRDefault="003E5AFF">
      <w:pPr>
        <w:pStyle w:val="Heading5"/>
        <w:rPr>
          <w:rFonts w:eastAsia="Times New Roman" w:cs="Times New Roman"/>
        </w:rPr>
      </w:pPr>
      <w:hyperlink r:id="rId197"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2399"/>
        <w:gridCol w:w="100"/>
        <w:gridCol w:w="103"/>
        <w:gridCol w:w="776"/>
        <w:gridCol w:w="112"/>
        <w:gridCol w:w="101"/>
        <w:gridCol w:w="56"/>
        <w:gridCol w:w="1630"/>
        <w:gridCol w:w="112"/>
        <w:gridCol w:w="202"/>
        <w:gridCol w:w="61"/>
        <w:gridCol w:w="1084"/>
        <w:gridCol w:w="112"/>
        <w:gridCol w:w="101"/>
        <w:gridCol w:w="88"/>
        <w:gridCol w:w="1157"/>
        <w:gridCol w:w="112"/>
      </w:tblGrid>
      <w:tr w:rsidR="00000000">
        <w:trPr>
          <w:jc w:val="center"/>
        </w:trPr>
        <w:tc>
          <w:tcPr>
            <w:tcW w:w="23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As of March 31, 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ascii="Arial" w:eastAsia="Times New Roman" w:hAnsi="Arial" w:cs="Arial"/>
                <w:b/>
                <w:bCs/>
              </w:rPr>
              <w:t>Currency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Interest rate</w:t>
            </w:r>
            <w:r>
              <w:rPr>
                <w:rFonts w:ascii="Arial" w:eastAsia="Times New Roman" w:hAnsi="Arial" w:cs="Arial"/>
                <w:b/>
                <w:bCs/>
              </w:rPr>
              <w:br/>
              <w:t>structure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Amount</w:t>
            </w:r>
            <w:r>
              <w:rPr>
                <w:rFonts w:ascii="Arial" w:eastAsia="Times New Roman" w:hAnsi="Arial" w:cs="Arial"/>
                <w:b/>
                <w:bCs/>
              </w:rPr>
              <w:br/>
              <w:t>outstanding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pStyle w:val="NormalWeb"/>
              <w:spacing w:before="0" w:beforeAutospacing="0" w:after="0" w:afterAutospacing="0"/>
              <w:jc w:val="right"/>
            </w:pPr>
            <w:r>
              <w:rPr>
                <w:rFonts w:ascii="Arial" w:hAnsi="Arial" w:cs="Arial"/>
                <w:b/>
                <w:bCs/>
              </w:rPr>
              <w:t>Maturity date</w:t>
            </w:r>
          </w:p>
          <w:p w:rsidR="00000000" w:rsidRDefault="003E5AFF">
            <w:pPr>
              <w:pStyle w:val="NormalWeb"/>
              <w:spacing w:before="0" w:beforeAutospacing="0" w:after="15" w:afterAutospacing="0"/>
              <w:jc w:val="right"/>
            </w:pPr>
            <w:r>
              <w:rPr>
                <w:rFonts w:ascii="Arial" w:hAnsi="Arial" w:cs="Arial"/>
                <w:b/>
                <w:bCs/>
              </w:rPr>
              <w:t>(DD-MM-YY)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(in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u w:val="single"/>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Banco Nordeste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5,532,389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16-12-2018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Bradesco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CDI + 3.20%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3,294,169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12-06-2012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Banco Nacional de Desenvolvimento Economico e Social (BNDES)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TJLP + 3.28%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11,056,947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16-09-2013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rPr>
                <w:rFonts w:eastAsia="Times New Roman" w:cs="Times New Roman"/>
              </w:rPr>
            </w:pPr>
            <w:r>
              <w:rPr>
                <w:rFonts w:ascii="Arial" w:eastAsia="Times New Roman" w:hAnsi="Arial" w:cs="Arial"/>
              </w:rPr>
              <w:t>Banco Nacional de Desenvolvimento Economico e Social (BNDES)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TJLP + 2.30%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1,846,864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16-09-2013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Banco Nacional de Desenvolvimento Economico e Social (BNDES)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IPCA + 1.30%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5,407,714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17-03-2014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rPr>
                <w:rFonts w:eastAsia="Times New Roman" w:cs="Times New Roman"/>
              </w:rPr>
            </w:pPr>
            <w:r>
              <w:rPr>
                <w:rFonts w:ascii="Arial" w:eastAsia="Times New Roman" w:hAnsi="Arial" w:cs="Arial"/>
              </w:rPr>
              <w:t>Banco Nacional de Desenvolvimento Economico e Social (BNDES)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TJLP + 5.30%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4,605,772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16-09-2013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Banco Nacional de Desenvolvimento Economico e Social (BNDES)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TJLP + 2.80%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11,284,882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15-09-2014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rPr>
                <w:rFonts w:eastAsia="Times New Roman" w:cs="Times New Roman"/>
              </w:rPr>
            </w:pPr>
            <w:r>
              <w:rPr>
                <w:rFonts w:ascii="Arial" w:eastAsia="Times New Roman" w:hAnsi="Arial" w:cs="Arial"/>
              </w:rPr>
              <w:t>Banco Nacional de Desenvolvimento Economico e Social (BNDES)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TJLP + 2.30%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3,155,736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15-09-2014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Banco Nordeste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4,344,072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25-01-2014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Bradesco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CDI + 5%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4,117,711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07-11-2016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c>
          <w:tcPr>
            <w:tcW w:w="0" w:type="auto"/>
            <w:gridSpan w:val="4"/>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pStyle w:val="NormalWeb"/>
              <w:ind w:left="240" w:hanging="240"/>
            </w:pPr>
            <w:r>
              <w:rPr>
                <w:rFonts w:ascii="Arial" w:hAnsi="Arial" w:cs="Arial"/>
                <w:u w:val="single"/>
              </w:rPr>
              <w:t>Banco Bradesco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CDI + 5%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6,588,338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07-11-2016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Bradesco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CDI + 5%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7,137,366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07-11-2016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Itau BBA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CDI + 2.35%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8,235,423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11-07-2012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Banco do Brasil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TR + 11.51%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27,439,459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18-06-2012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HSBC</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R$</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CDI + 1.50%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1,152,959</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28-09-2012</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HSBC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CDI + 1.50%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1,372,571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28-09-2012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HSBC</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CDI + 1.50%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1,482,376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28-09-2012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HSBC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CDI + 1.50%</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1,811,793</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28-09-2012</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HSBC</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R$</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CDI + 1.50%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9,333,480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28-09-2012</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HSBC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CDI + 1.50%</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12,627,649</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28-09-2012</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HSBC</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R$</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CDI + 1.50%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5,490,282</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28-09-2012</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HSBC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CDI + 1.50%</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8,235,423</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28-09-2012</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HSBC</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R$</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CDI + 1.50%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6,588,339</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28-09-2012</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ITAU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CDI + 1.50%</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17,294,389</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28-09-2012</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ITAU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R$</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CDI + 1.50%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24,706,270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28-09-2012</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ITAU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CDI + 1.50%</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2,415,724</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28-09-2012</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ITAU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R$</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CDI + 1.75%</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2,470,627</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28-09-2012</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ITAU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R$</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CDI + 1.75%</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4,392,226</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28-09-2012</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ITAU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R$</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CDI + 1.75%</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10,706,050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28-09-2012</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u w:val="single"/>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Rabobank</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USD</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Libor 180 + 5.00%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8,698,523</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15-06-2013</w:t>
            </w:r>
          </w:p>
        </w:tc>
        <w:tc>
          <w:tcPr>
            <w:tcW w:w="0" w:type="auto"/>
            <w:noWrap/>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IFC 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Libor 180 + 1.55%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34,712,783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16-08-2016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IFC B</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Libor 180 + 1.10%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53,761,424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16-08-2013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- 147 - </w:t>
      </w:r>
    </w:p>
    <w:p w:rsidR="00000000" w:rsidRDefault="003E5AFF">
      <w:pPr>
        <w:rPr>
          <w:rFonts w:eastAsia="Times New Roman" w:cs="Times New Roman"/>
        </w:rPr>
      </w:pPr>
      <w:r>
        <w:rPr>
          <w:rFonts w:eastAsia="Times New Roman" w:cs="Times New Roman"/>
        </w:rPr>
        <w:pict>
          <v:rect id="_x0000_i1181" style="width:441.9pt;height:3pt" o:hralign="center" o:hrstd="t" o:hrnoshade="t" o:hr="t" fillcolor="#999" stroked="f"/>
        </w:pict>
      </w:r>
    </w:p>
    <w:p w:rsidR="00000000" w:rsidRDefault="003E5AFF">
      <w:pPr>
        <w:pStyle w:val="Heading5"/>
        <w:rPr>
          <w:rFonts w:eastAsia="Times New Roman" w:cs="Times New Roman"/>
        </w:rPr>
      </w:pPr>
      <w:hyperlink r:id="rId198"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2779"/>
        <w:gridCol w:w="111"/>
        <w:gridCol w:w="103"/>
        <w:gridCol w:w="776"/>
        <w:gridCol w:w="112"/>
        <w:gridCol w:w="111"/>
        <w:gridCol w:w="56"/>
        <w:gridCol w:w="1174"/>
        <w:gridCol w:w="112"/>
        <w:gridCol w:w="223"/>
        <w:gridCol w:w="56"/>
        <w:gridCol w:w="1113"/>
        <w:gridCol w:w="112"/>
        <w:gridCol w:w="111"/>
        <w:gridCol w:w="85"/>
        <w:gridCol w:w="1160"/>
        <w:gridCol w:w="112"/>
      </w:tblGrid>
      <w:tr w:rsidR="00000000">
        <w:trPr>
          <w:jc w:val="center"/>
        </w:trPr>
        <w:tc>
          <w:tcPr>
            <w:tcW w:w="25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As of March 31, 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ascii="Arial" w:eastAsia="Times New Roman" w:hAnsi="Arial" w:cs="Arial"/>
                <w:b/>
                <w:bCs/>
              </w:rPr>
              <w:t>Currency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Interest rate</w:t>
            </w:r>
            <w:r>
              <w:rPr>
                <w:rFonts w:ascii="Arial" w:eastAsia="Times New Roman" w:hAnsi="Arial" w:cs="Arial"/>
                <w:b/>
                <w:bCs/>
              </w:rPr>
              <w:br/>
              <w:t>structure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Amount</w:t>
            </w:r>
            <w:r>
              <w:rPr>
                <w:rFonts w:ascii="Arial" w:eastAsia="Times New Roman" w:hAnsi="Arial" w:cs="Arial"/>
                <w:b/>
                <w:bCs/>
              </w:rPr>
              <w:br/>
              <w:t>outstanding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pStyle w:val="NormalWeb"/>
              <w:spacing w:before="0" w:beforeAutospacing="0" w:after="0" w:afterAutospacing="0"/>
              <w:jc w:val="right"/>
            </w:pPr>
            <w:r>
              <w:rPr>
                <w:rFonts w:ascii="Arial" w:hAnsi="Arial" w:cs="Arial"/>
                <w:b/>
                <w:bCs/>
              </w:rPr>
              <w:t>Maturity date</w:t>
            </w:r>
          </w:p>
          <w:p w:rsidR="00000000" w:rsidRDefault="003E5AFF">
            <w:pPr>
              <w:pStyle w:val="NormalWeb"/>
              <w:spacing w:before="0" w:beforeAutospacing="0" w:after="15" w:afterAutospacing="0"/>
              <w:jc w:val="right"/>
            </w:pPr>
            <w:r>
              <w:rPr>
                <w:rFonts w:ascii="Arial" w:hAnsi="Arial" w:cs="Arial"/>
                <w:b/>
                <w:bCs/>
              </w:rPr>
              <w:t>(DD-MM-YY)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(in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Bonds: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u w:val="single"/>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BCENC 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185,237,140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15-03-2027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BCENC C</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210,114,643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01-07-2027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BCENC D</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70,021,407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03-07-2028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BCENC 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93,730,860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07-05-2018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BCENC F</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211,300,164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08-05-2028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BCENC J</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142,257,748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15-10-2029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BCENC K</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61,887,218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01-03-2014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BCENC 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46,864,136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28-05-2015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BCENC 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211,302,577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28- 05-1930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BCENC 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113,302,900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01-06-1931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BCENC J, Series B1 and B2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UF</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104,140,282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01-09-2026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Incabond 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108,337,691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07-05-2018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Incabond 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7.625% + tax</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49,400,617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14-08-2017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Bono Internacional EEUU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USD</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758,046,016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20-01-2021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u w:val="single"/>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BONOS TITULIZADOS 6</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717,015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13-12-2016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BONOS TITULIZADOS 5</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2,868,060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13-12-2016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i/>
          <w:iCs/>
        </w:rPr>
        <w:t xml:space="preserve">Credit facilities (Banks loans and bonds) </w:t>
      </w:r>
    </w:p>
    <w:p w:rsidR="00000000" w:rsidRDefault="003E5AFF">
      <w:pPr>
        <w:pStyle w:val="NormalWeb"/>
        <w:spacing w:before="120" w:beforeAutospacing="0" w:after="0" w:afterAutospacing="0"/>
      </w:pPr>
      <w:r>
        <w:rPr>
          <w:rFonts w:ascii="Arial" w:hAnsi="Arial" w:cs="Arial"/>
        </w:rPr>
        <w:t>At March 31, 2012 we had Ch$ 319,934 </w:t>
      </w:r>
      <w:r>
        <w:rPr>
          <w:rFonts w:ascii="Arial" w:hAnsi="Arial" w:cs="Arial"/>
        </w:rPr>
        <w:t xml:space="preserve">million in uncommitted lines of credit with the regional banks that we work with. We deal with a wide diversity of banks around the world. We believe, if necessary, we can reopen our existing international bonds or issue one or more new series of bonds as </w:t>
      </w:r>
      <w:r>
        <w:rPr>
          <w:rFonts w:ascii="Arial" w:hAnsi="Arial" w:cs="Arial"/>
        </w:rPr>
        <w:t xml:space="preserve">appropriate, or can obtain commercial paper in the Chilean market. </w:t>
      </w:r>
    </w:p>
    <w:p w:rsidR="00000000" w:rsidRDefault="003E5AFF">
      <w:pPr>
        <w:pStyle w:val="NormalWeb"/>
        <w:spacing w:before="120" w:beforeAutospacing="0" w:after="0" w:afterAutospacing="0"/>
      </w:pPr>
      <w:r>
        <w:rPr>
          <w:rFonts w:ascii="Arial" w:hAnsi="Arial" w:cs="Arial"/>
        </w:rPr>
        <w:t>Our loan agreements and outstanding bonds contain a number of covenants requiring us to comply with certain financial ratios and other tests. The most restrictive financial covenants under</w:t>
      </w:r>
      <w:r>
        <w:rPr>
          <w:rFonts w:ascii="Arial" w:hAnsi="Arial" w:cs="Arial"/>
        </w:rPr>
        <w:t xml:space="preserve"> these loan agreements and bonds require us to maintain: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ratio of consolidated net financial debt to consolidated net worth not exceeding 1.2 to 1;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ratio of consolidated Net Financial Debt to EBITDA (as defined in the relevant credit agreements) for the most recent four consecutive fiscal quarters for such period of less than 4.25 to 1;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 ratio of EBITDA (as defined in the relevant cre</w:t>
            </w:r>
            <w:r>
              <w:rPr>
                <w:rFonts w:ascii="Arial" w:hAnsi="Arial" w:cs="Arial"/>
              </w:rPr>
              <w:t xml:space="preserve">dit agreements) for the most recent four consecutive fiscal quarters to consolidated financial expense for such period of at least 3.0 to 1;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Unencumbered assets in an amount equal to at least 120% of the outstanding principal amount of total liabilities;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minimum consolidated assets of at least UF50.5 million;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minimum consolidated net worth of at least UF28.0 million. </w:t>
            </w:r>
          </w:p>
        </w:tc>
      </w:tr>
    </w:tbl>
    <w:p w:rsidR="00000000" w:rsidRDefault="003E5AFF">
      <w:pPr>
        <w:pStyle w:val="NormalWeb"/>
        <w:spacing w:before="120" w:beforeAutospacing="0" w:after="0" w:afterAutospacing="0"/>
      </w:pPr>
      <w:r>
        <w:rPr>
          <w:rFonts w:ascii="Arial" w:hAnsi="Arial" w:cs="Arial"/>
        </w:rPr>
        <w:t xml:space="preserve">As of the date of this prospectus, we believe we are in compliance with all of our loan and debt instruments.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- 148 - </w:t>
      </w:r>
    </w:p>
    <w:p w:rsidR="00000000" w:rsidRDefault="003E5AFF">
      <w:pPr>
        <w:rPr>
          <w:rFonts w:eastAsia="Times New Roman" w:cs="Times New Roman"/>
        </w:rPr>
      </w:pPr>
      <w:r>
        <w:rPr>
          <w:rFonts w:eastAsia="Times New Roman" w:cs="Times New Roman"/>
        </w:rPr>
        <w:pict>
          <v:rect id="_x0000_i1182" style="width:441.9pt;height:3pt" o:hralign="center" o:hrstd="t" o:hrnoshade="t" o:hr="t" fillcolor="#999" stroked="f"/>
        </w:pict>
      </w:r>
    </w:p>
    <w:p w:rsidR="00000000" w:rsidRDefault="003E5AFF">
      <w:pPr>
        <w:pStyle w:val="Heading5"/>
        <w:rPr>
          <w:rFonts w:eastAsia="Times New Roman" w:cs="Times New Roman"/>
        </w:rPr>
      </w:pPr>
      <w:hyperlink r:id="rId19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On December 23, 2010, Cenco</w:t>
      </w:r>
      <w:r>
        <w:rPr>
          <w:rFonts w:ascii="Arial" w:hAnsi="Arial" w:cs="Arial"/>
        </w:rPr>
        <w:t>sud Peru S.A. (_Cencosud Peru_) entered into a U.S.$70 million medium-term loan with Banco de Cr_dito del Per_ (_BCP_), as lender. The loan bears an annual interest rate of 7.34% and has a maturity period of six years (the _BCP Loan_). According to the ter</w:t>
      </w:r>
      <w:r>
        <w:rPr>
          <w:rFonts w:ascii="Arial" w:hAnsi="Arial" w:cs="Arial"/>
        </w:rPr>
        <w:t xml:space="preserve">ms of the BCP Loan, if (i) an event of default exists, (ii) a dividend payment would cause an event of default, or (iii) certain financial ratios are not maintained, Cencosud Peru is prohibited from distributing dividends or any other similar distribution </w:t>
      </w:r>
      <w:r>
        <w:rPr>
          <w:rFonts w:ascii="Arial" w:hAnsi="Arial" w:cs="Arial"/>
        </w:rPr>
        <w:t xml:space="preserve">to its parent without the previous authorization of BCP. </w:t>
      </w:r>
    </w:p>
    <w:p w:rsidR="00000000" w:rsidRDefault="003E5AFF">
      <w:pPr>
        <w:pStyle w:val="NormalWeb"/>
        <w:spacing w:before="120" w:beforeAutospacing="0" w:after="0" w:afterAutospacing="0"/>
      </w:pPr>
      <w:r>
        <w:rPr>
          <w:rFonts w:ascii="Arial" w:hAnsi="Arial" w:cs="Arial"/>
        </w:rPr>
        <w:t>On March 13, 2012, we entered into the BBVA Short-Term Loan, for Ch$100,000 million (approximately U.S.$200 million) short-term facility with an affiliate of Banco Bilbao Vizcaya Argentaria, S.A., a</w:t>
      </w:r>
      <w:r>
        <w:rPr>
          <w:rFonts w:ascii="Arial" w:hAnsi="Arial" w:cs="Arial"/>
        </w:rPr>
        <w:t>s lender, to finance our investing activities, including capital expenditures, and to refinance certain short-term liabilities, including repayment of overdraft lines (_BBVA Short-Term Loan_). The BBVA Short-Term Loan bears interest at an annual rate based</w:t>
      </w:r>
      <w:r>
        <w:rPr>
          <w:rFonts w:ascii="Arial" w:hAnsi="Arial" w:cs="Arial"/>
        </w:rPr>
        <w:t xml:space="preserve"> on the _ndice de C_mara Promedio, an indexed interest rate established by ABIF, and has a maturity date of March 13, 2013 . </w:t>
      </w:r>
    </w:p>
    <w:p w:rsidR="00000000" w:rsidRDefault="003E5AFF">
      <w:pPr>
        <w:pStyle w:val="NormalWeb"/>
        <w:spacing w:before="120" w:beforeAutospacing="0" w:after="0" w:afterAutospacing="0"/>
      </w:pPr>
      <w:r>
        <w:rPr>
          <w:rFonts w:ascii="Arial" w:hAnsi="Arial" w:cs="Arial"/>
        </w:rPr>
        <w:t>On April 27, 2012, we entered into the J.P. Morgan Credit Facility, a U.S.$750 million committed credit facility with J.P. Morgan,</w:t>
      </w:r>
      <w:r>
        <w:rPr>
          <w:rFonts w:ascii="Arial" w:hAnsi="Arial" w:cs="Arial"/>
        </w:rPr>
        <w:t xml:space="preserve"> The Bank of Tokyo_Mitsubishi UFJ, Ltd. and Mizuho Corporate Bank Ltd., as lenders, in order to finance our short-term funding requirements, including capital expenditures, interest expense and tax obligations. As of May 7, 2012, amounts drawn under the J.</w:t>
      </w:r>
      <w:r>
        <w:rPr>
          <w:rFonts w:ascii="Arial" w:hAnsi="Arial" w:cs="Arial"/>
        </w:rPr>
        <w:t>P. Morgan Credit Facility totaled U.S.$250 million. The J.P. Morgan Credit Facility bears an interest rate of LIBOR, as adjusted for statutory reserve requirements for eurocurrency liabilities, plus a margin of 1.25% for the first six months, 1.50% for the</w:t>
      </w:r>
      <w:r>
        <w:rPr>
          <w:rFonts w:ascii="Arial" w:hAnsi="Arial" w:cs="Arial"/>
        </w:rPr>
        <w:t xml:space="preserve"> following three months, and 1.75% thereafter. The J.P. Morgan Credit Facility matures on March 13, 2013. </w:t>
      </w:r>
    </w:p>
    <w:p w:rsidR="00000000" w:rsidRDefault="003E5AFF">
      <w:pPr>
        <w:pStyle w:val="NormalWeb"/>
        <w:spacing w:before="240" w:beforeAutospacing="0" w:after="0" w:afterAutospacing="0"/>
      </w:pPr>
      <w:r>
        <w:rPr>
          <w:rFonts w:ascii="Arial" w:hAnsi="Arial" w:cs="Arial"/>
          <w:i/>
          <w:iCs/>
        </w:rPr>
        <w:t xml:space="preserve">Leases </w:t>
      </w:r>
    </w:p>
    <w:p w:rsidR="00000000" w:rsidRDefault="003E5AFF">
      <w:pPr>
        <w:pStyle w:val="NormalWeb"/>
        <w:spacing w:before="120" w:beforeAutospacing="0" w:after="0" w:afterAutospacing="0"/>
      </w:pPr>
      <w:r>
        <w:rPr>
          <w:rFonts w:ascii="Arial" w:hAnsi="Arial" w:cs="Arial"/>
        </w:rPr>
        <w:t xml:space="preserve">We have significant operating lease obligations. At December 31, 2011, 62.0%, 18.0% and 63.0% of the selling space of our supermarkets, home </w:t>
      </w:r>
      <w:r>
        <w:rPr>
          <w:rFonts w:ascii="Arial" w:hAnsi="Arial" w:cs="Arial"/>
        </w:rPr>
        <w:t>improvement stores and department stores, respectively, was located on leased properties. Our store leases typically have a term ranging from ten to 32 years and provide for both monthly fixed and variable lease payments. Our shopping center leases typical</w:t>
      </w:r>
      <w:r>
        <w:rPr>
          <w:rFonts w:ascii="Arial" w:hAnsi="Arial" w:cs="Arial"/>
        </w:rPr>
        <w:t xml:space="preserve">ly have terms of more than 30 years and provide for fixed monthly rent payments. </w:t>
      </w:r>
    </w:p>
    <w:p w:rsidR="00000000" w:rsidRDefault="003E5AFF">
      <w:pPr>
        <w:pStyle w:val="NormalWeb"/>
        <w:spacing w:before="240" w:beforeAutospacing="0" w:after="0" w:afterAutospacing="0"/>
      </w:pPr>
      <w:r>
        <w:rPr>
          <w:rFonts w:ascii="Arial" w:hAnsi="Arial" w:cs="Arial"/>
          <w:i/>
          <w:iCs/>
        </w:rPr>
        <w:t xml:space="preserve">Recent acquisitions </w:t>
      </w:r>
    </w:p>
    <w:p w:rsidR="00000000" w:rsidRDefault="003E5AFF">
      <w:pPr>
        <w:pStyle w:val="NormalWeb"/>
        <w:spacing w:before="120" w:beforeAutospacing="0" w:after="0" w:afterAutospacing="0"/>
      </w:pPr>
      <w:r>
        <w:rPr>
          <w:rFonts w:ascii="Arial" w:hAnsi="Arial" w:cs="Arial"/>
        </w:rPr>
        <w:t>On January 2, 2012, we acquired 100% of the capital stock of Prezunic. In order to finance our acquisition of Prezunic, on January 2, 2012 we entered int</w:t>
      </w:r>
      <w:r>
        <w:rPr>
          <w:rFonts w:ascii="Arial" w:hAnsi="Arial" w:cs="Arial"/>
        </w:rPr>
        <w:t>o a Ch$127.73 billion short-term facility with Banco Santander Chile, as lender, bearing interest at an annual rate of the TAB plus 0.4% with a maturity date of December 28, 2012 (_Santander Short-Term Loan_), which we intend to repay with a portion of the</w:t>
      </w:r>
      <w:r>
        <w:rPr>
          <w:rFonts w:ascii="Arial" w:hAnsi="Arial" w:cs="Arial"/>
        </w:rPr>
        <w:t xml:space="preserve"> proceeds from the global and Chilean offering. See _Use of Proceeds._ </w:t>
      </w:r>
    </w:p>
    <w:p w:rsidR="00000000" w:rsidRDefault="003E5AFF">
      <w:pPr>
        <w:pStyle w:val="NormalWeb"/>
        <w:spacing w:before="240" w:beforeAutospacing="0" w:after="0" w:afterAutospacing="0"/>
      </w:pPr>
      <w:r>
        <w:rPr>
          <w:rFonts w:ascii="Arial" w:hAnsi="Arial" w:cs="Arial"/>
          <w:i/>
          <w:iCs/>
        </w:rPr>
        <w:t xml:space="preserve">Other </w:t>
      </w:r>
    </w:p>
    <w:p w:rsidR="00000000" w:rsidRDefault="003E5AFF">
      <w:pPr>
        <w:pStyle w:val="NormalWeb"/>
        <w:spacing w:before="120" w:beforeAutospacing="0" w:after="0" w:afterAutospacing="0"/>
      </w:pPr>
      <w:r>
        <w:rPr>
          <w:rFonts w:ascii="Arial" w:hAnsi="Arial" w:cs="Arial"/>
        </w:rPr>
        <w:t>In March 2011, UBS London entered into a stock purchase agreement to acquire from certain investors a 38.636% stake in Cencosud_s subsidiary Jumbo Retail Argentina, which operat</w:t>
      </w:r>
      <w:r>
        <w:rPr>
          <w:rFonts w:ascii="Arial" w:hAnsi="Arial" w:cs="Arial"/>
        </w:rPr>
        <w:t xml:space="preserve">es our supermarkets in Argentina, for U.S.$442 million. In connection with this purchase agreement we executed an option agreement with UBS London, which, among other rights and obligations, provides UBS London the right to sell its shares of Jumbo Retail </w:t>
      </w:r>
      <w:r>
        <w:rPr>
          <w:rFonts w:ascii="Arial" w:hAnsi="Arial" w:cs="Arial"/>
        </w:rPr>
        <w:t xml:space="preserve">Argentina to us in September 2012. See _Business_Material Agreements._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- 149 - </w:t>
      </w:r>
    </w:p>
    <w:p w:rsidR="00000000" w:rsidRDefault="003E5AFF">
      <w:pPr>
        <w:rPr>
          <w:rFonts w:eastAsia="Times New Roman" w:cs="Times New Roman"/>
        </w:rPr>
      </w:pPr>
      <w:r>
        <w:rPr>
          <w:rFonts w:eastAsia="Times New Roman" w:cs="Times New Roman"/>
        </w:rPr>
        <w:pict>
          <v:rect id="_x0000_i1183" style="width:441.9pt;height:3pt" o:hralign="center" o:hrstd="t" o:hrnoshade="t" o:hr="t" fillcolor="#999" stroked="f"/>
        </w:pict>
      </w:r>
    </w:p>
    <w:p w:rsidR="00000000" w:rsidRDefault="003E5AFF">
      <w:pPr>
        <w:pStyle w:val="Heading5"/>
        <w:rPr>
          <w:rFonts w:eastAsia="Times New Roman" w:cs="Times New Roman"/>
        </w:rPr>
      </w:pPr>
      <w:hyperlink r:id="rId20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Analysis of cash flows </w:t>
      </w:r>
    </w:p>
    <w:p w:rsidR="00000000" w:rsidRDefault="003E5AFF">
      <w:pPr>
        <w:pStyle w:val="NormalWeb"/>
        <w:spacing w:before="120" w:beforeAutospacing="0" w:after="0" w:afterAutospacing="0"/>
      </w:pPr>
      <w:r>
        <w:rPr>
          <w:rFonts w:ascii="Arial" w:hAnsi="Arial" w:cs="Arial"/>
        </w:rPr>
        <w:t xml:space="preserve">The following table summarizes our generation and use of cash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5956"/>
        <w:gridCol w:w="149"/>
        <w:gridCol w:w="60"/>
        <w:gridCol w:w="839"/>
        <w:gridCol w:w="131"/>
        <w:gridCol w:w="150"/>
        <w:gridCol w:w="59"/>
        <w:gridCol w:w="839"/>
        <w:gridCol w:w="123"/>
      </w:tblGrid>
      <w:tr w:rsidR="00000000">
        <w:trPr>
          <w:jc w:val="center"/>
        </w:trPr>
        <w:tc>
          <w:tcPr>
            <w:tcW w:w="40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cash provided by operating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24,099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(12,578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Net cash used in investing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(248,774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(222,274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cash provided by (used in) financing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181,703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220,981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i/>
          <w:iCs/>
        </w:rPr>
        <w:t xml:space="preserve">Cash flows for three months ended March 31, 2012 compared to three months ended March 31, 2011 </w:t>
      </w:r>
    </w:p>
    <w:p w:rsidR="00000000" w:rsidRDefault="003E5AFF">
      <w:pPr>
        <w:pStyle w:val="NormalWeb"/>
        <w:spacing w:before="120" w:beforeAutospacing="0" w:after="0" w:afterAutospacing="0"/>
      </w:pPr>
      <w:r>
        <w:rPr>
          <w:rFonts w:ascii="Arial" w:hAnsi="Arial" w:cs="Arial"/>
        </w:rPr>
        <w:t>Taking into account our cash flows from operations, cash flows from financing activities and cash used in investing activities, we had a net cash outflow of Ch$</w:t>
      </w:r>
      <w:r>
        <w:rPr>
          <w:rFonts w:ascii="Arial" w:hAnsi="Arial" w:cs="Arial"/>
        </w:rPr>
        <w:t xml:space="preserve">42,972 million for the three months ended March 31, 2012 compared to a net cash outflow of Ch$13,872 million for the three months ended March 31, 2011. </w:t>
      </w:r>
    </w:p>
    <w:p w:rsidR="00000000" w:rsidRDefault="003E5AFF">
      <w:pPr>
        <w:pStyle w:val="NormalWeb"/>
        <w:spacing w:before="120" w:beforeAutospacing="0" w:after="0" w:afterAutospacing="0"/>
      </w:pPr>
      <w:r>
        <w:rPr>
          <w:rFonts w:ascii="Arial" w:hAnsi="Arial" w:cs="Arial"/>
        </w:rPr>
        <w:t xml:space="preserve">Operating Activities. Our net cash flows from operations increased 291.6% to Ch$24,099 million for the </w:t>
      </w:r>
      <w:r>
        <w:rPr>
          <w:rFonts w:ascii="Arial" w:hAnsi="Arial" w:cs="Arial"/>
        </w:rPr>
        <w:t xml:space="preserve">three months ended March 31, 2012 from negative Ch$12,578 million for the three months ended March 31, 2011. This change was primarily due to an increase in cash sales of Ch$483,312 million, offset by (i) an increase in payments to suppliers of Ch$394,951 </w:t>
      </w:r>
      <w:r>
        <w:rPr>
          <w:rFonts w:ascii="Arial" w:hAnsi="Arial" w:cs="Arial"/>
        </w:rPr>
        <w:t xml:space="preserve">million, (ii) an increase in payments to and on behalf of personnel of Ch$61,794, and (iii) a decrease of Ch$17,996 million in other operating payments. </w:t>
      </w:r>
    </w:p>
    <w:p w:rsidR="00000000" w:rsidRDefault="003E5AFF">
      <w:pPr>
        <w:pStyle w:val="NormalWeb"/>
        <w:spacing w:before="120" w:beforeAutospacing="0" w:after="0" w:afterAutospacing="0"/>
      </w:pPr>
      <w:r>
        <w:rPr>
          <w:rFonts w:ascii="Arial" w:hAnsi="Arial" w:cs="Arial"/>
        </w:rPr>
        <w:t>Investing Activities. Our net cash flows from investing activities increased 11.9% to Ch$248,774 milli</w:t>
      </w:r>
      <w:r>
        <w:rPr>
          <w:rFonts w:ascii="Arial" w:hAnsi="Arial" w:cs="Arial"/>
        </w:rPr>
        <w:t>on for the three months ended March 31, 2012 from Ch$222,274 million for the three months ended March 31, 2011. This change was primarily due to an increase in acquisitions of Ch$113,180 million related to the acquisition of Prezunic. This increase was off</w:t>
      </w:r>
      <w:r>
        <w:rPr>
          <w:rFonts w:ascii="Arial" w:hAnsi="Arial" w:cs="Arial"/>
        </w:rPr>
        <w:t xml:space="preserve">set as a result of lower outflows of Ch$45,452 million related to our Capital Expenditures activities and by lower cash invested on short-term investments in the amount of Ch$140,285 million. </w:t>
      </w:r>
    </w:p>
    <w:p w:rsidR="00000000" w:rsidRDefault="003E5AFF">
      <w:pPr>
        <w:pStyle w:val="NormalWeb"/>
        <w:spacing w:before="120" w:beforeAutospacing="0" w:after="0" w:afterAutospacing="0"/>
      </w:pPr>
      <w:r>
        <w:rPr>
          <w:rFonts w:ascii="Arial" w:hAnsi="Arial" w:cs="Arial"/>
        </w:rPr>
        <w:t>Financing Activities. Our net cash flows from financing activit</w:t>
      </w:r>
      <w:r>
        <w:rPr>
          <w:rFonts w:ascii="Arial" w:hAnsi="Arial" w:cs="Arial"/>
        </w:rPr>
        <w:t>ies decreased 17.84% to Ch$181,703 million for the three months ended March 31, 2012 from Ch$220,981 million for the three months ended March 31, 2011. This change was primarily due to a decrease of Ch$23,349 million in proceeds from borrowings and to a de</w:t>
      </w:r>
      <w:r>
        <w:rPr>
          <w:rFonts w:ascii="Arial" w:hAnsi="Arial" w:cs="Arial"/>
        </w:rPr>
        <w:t xml:space="preserve">crease of Ch$11,576 million in debt repayments.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047"/>
        <w:gridCol w:w="473"/>
        <w:gridCol w:w="367"/>
        <w:gridCol w:w="790"/>
        <w:gridCol w:w="123"/>
        <w:gridCol w:w="473"/>
        <w:gridCol w:w="367"/>
        <w:gridCol w:w="790"/>
        <w:gridCol w:w="123"/>
        <w:gridCol w:w="473"/>
        <w:gridCol w:w="367"/>
        <w:gridCol w:w="790"/>
        <w:gridCol w:w="123"/>
      </w:tblGrid>
      <w:tr w:rsidR="00000000">
        <w:trPr>
          <w:jc w:val="center"/>
        </w:trPr>
        <w:tc>
          <w:tcPr>
            <w:tcW w:w="2900" w:type="pct"/>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cash provided by operating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567,739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407,174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675,653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Net cash used in investing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(623,499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(413,676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(430,959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Net cash provided by (used in) financing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89,607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(243,236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i/>
          <w:iCs/>
        </w:rPr>
        <w:t xml:space="preserve">Cash flows for year ended December 31, 2011 compared to year ended December 31, 2010 </w:t>
      </w:r>
    </w:p>
    <w:p w:rsidR="00000000" w:rsidRDefault="003E5AFF">
      <w:pPr>
        <w:pStyle w:val="NormalWeb"/>
        <w:spacing w:before="120" w:beforeAutospacing="0" w:after="0" w:afterAutospacing="0"/>
      </w:pPr>
      <w:r>
        <w:rPr>
          <w:rFonts w:ascii="Arial" w:hAnsi="Arial" w:cs="Arial"/>
        </w:rPr>
        <w:t>Taking into account our cash flows from operations, cash flows from financing activities and cash used in investing activities, we had a net cash flow of Ch$33,847 million for the year ended December 31, 2011 compared to a net cash outflow of Ch$1,417 mill</w:t>
      </w:r>
      <w:r>
        <w:rPr>
          <w:rFonts w:ascii="Arial" w:hAnsi="Arial" w:cs="Arial"/>
        </w:rPr>
        <w:t xml:space="preserve">ion for the year ended December 31, 2010.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- 150 - </w:t>
      </w:r>
    </w:p>
    <w:p w:rsidR="00000000" w:rsidRDefault="003E5AFF">
      <w:pPr>
        <w:rPr>
          <w:rFonts w:eastAsia="Times New Roman" w:cs="Times New Roman"/>
        </w:rPr>
      </w:pPr>
      <w:r>
        <w:rPr>
          <w:rFonts w:eastAsia="Times New Roman" w:cs="Times New Roman"/>
        </w:rPr>
        <w:pict>
          <v:rect id="_x0000_i1184" style="width:441.9pt;height:3pt" o:hralign="center" o:hrstd="t" o:hrnoshade="t" o:hr="t" fillcolor="#999" stroked="f"/>
        </w:pict>
      </w:r>
    </w:p>
    <w:p w:rsidR="00000000" w:rsidRDefault="003E5AFF">
      <w:pPr>
        <w:pStyle w:val="Heading5"/>
        <w:rPr>
          <w:rFonts w:eastAsia="Times New Roman" w:cs="Times New Roman"/>
        </w:rPr>
      </w:pPr>
      <w:hyperlink r:id="rId20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u w:val="single"/>
        </w:rPr>
        <w:t>Operating activities</w:t>
      </w:r>
      <w:r>
        <w:rPr>
          <w:rFonts w:ascii="Arial" w:hAnsi="Arial" w:cs="Arial"/>
        </w:rPr>
        <w:t xml:space="preserve">.    Our net cash flows from operations increased 39.4% to Ch$567,739 million for the year ended December 31, 2011 from Ch$407,174 million for the year ended December 31, 2010. This change was primarily due to an increase in cash sales </w:t>
      </w:r>
      <w:r>
        <w:rPr>
          <w:rFonts w:ascii="Arial" w:hAnsi="Arial" w:cs="Arial"/>
        </w:rPr>
        <w:t xml:space="preserve">of Ch$1,786,619 million, offset by (i) an increase in payments to suppliers of Ch$1,381,558 million, (ii) an increase in payments to and on behalf of personnel of Ch$186,173, and (iii) an increase of Ch$32,590 million in cash tax payments. </w:t>
      </w:r>
    </w:p>
    <w:p w:rsidR="00000000" w:rsidRDefault="003E5AFF">
      <w:pPr>
        <w:pStyle w:val="NormalWeb"/>
        <w:spacing w:before="120" w:beforeAutospacing="0" w:after="0" w:afterAutospacing="0"/>
      </w:pPr>
      <w:r>
        <w:rPr>
          <w:rFonts w:ascii="Arial" w:hAnsi="Arial" w:cs="Arial"/>
          <w:u w:val="single"/>
        </w:rPr>
        <w:t>Investing activ</w:t>
      </w:r>
      <w:r>
        <w:rPr>
          <w:rFonts w:ascii="Arial" w:hAnsi="Arial" w:cs="Arial"/>
          <w:u w:val="single"/>
        </w:rPr>
        <w:t>ities</w:t>
      </w:r>
      <w:r>
        <w:rPr>
          <w:rFonts w:ascii="Arial" w:hAnsi="Arial" w:cs="Arial"/>
        </w:rPr>
        <w:t>.    Our net cash flows from investing activities increased 50.7% to Ch$(623,499) million for the year ended December 31, 2011 from Ch$(413,676) million for the year ended December 31, 2010. This change was primarily due to an increase in capital expe</w:t>
      </w:r>
      <w:r>
        <w:rPr>
          <w:rFonts w:ascii="Arial" w:hAnsi="Arial" w:cs="Arial"/>
        </w:rPr>
        <w:t xml:space="preserve">nditures of Ch$266,543 million related to the opening of 76 new stores. This increase was partially offset as a result of higher outflows related to our acquisition activities in 2010 and by lower cash from the liquidation of short-term investments. </w:t>
      </w:r>
    </w:p>
    <w:p w:rsidR="00000000" w:rsidRDefault="003E5AFF">
      <w:pPr>
        <w:pStyle w:val="NormalWeb"/>
        <w:spacing w:before="120" w:beforeAutospacing="0" w:after="0" w:afterAutospacing="0"/>
      </w:pPr>
      <w:r>
        <w:rPr>
          <w:rFonts w:ascii="Arial" w:hAnsi="Arial" w:cs="Arial"/>
          <w:u w:val="single"/>
        </w:rPr>
        <w:t>Finan</w:t>
      </w:r>
      <w:r>
        <w:rPr>
          <w:rFonts w:ascii="Arial" w:hAnsi="Arial" w:cs="Arial"/>
          <w:u w:val="single"/>
        </w:rPr>
        <w:t>cing activities</w:t>
      </w:r>
      <w:r>
        <w:rPr>
          <w:rFonts w:ascii="Arial" w:hAnsi="Arial" w:cs="Arial"/>
        </w:rPr>
        <w:t>.    Our net cash flows from financing activities increased 1,662% for the year ended December 31, 2011 to Ch$89,607million from Ch$5,086 million for the year ended December 31, 2010. This change was primarily due to an increase of Ch$978,55</w:t>
      </w:r>
      <w:r>
        <w:rPr>
          <w:rFonts w:ascii="Arial" w:hAnsi="Arial" w:cs="Arial"/>
        </w:rPr>
        <w:t xml:space="preserve">0 million in proceeds from borrowings, partially offset by an increase of Ch$836,281 million in debt repayments and, to a lesser extent, to higher dividends paid and higher cash interest paid. </w:t>
      </w:r>
    </w:p>
    <w:p w:rsidR="00000000" w:rsidRDefault="003E5AFF">
      <w:pPr>
        <w:pStyle w:val="NormalWeb"/>
        <w:spacing w:before="240" w:beforeAutospacing="0" w:after="0" w:afterAutospacing="0"/>
      </w:pPr>
      <w:r>
        <w:rPr>
          <w:rFonts w:ascii="Arial" w:hAnsi="Arial" w:cs="Arial"/>
          <w:i/>
          <w:iCs/>
        </w:rPr>
        <w:t>Cash flows for year ended December 31, 2010 compared to year e</w:t>
      </w:r>
      <w:r>
        <w:rPr>
          <w:rFonts w:ascii="Arial" w:hAnsi="Arial" w:cs="Arial"/>
          <w:i/>
          <w:iCs/>
        </w:rPr>
        <w:t xml:space="preserve">nded December 31, 2009 </w:t>
      </w:r>
    </w:p>
    <w:p w:rsidR="00000000" w:rsidRDefault="003E5AFF">
      <w:pPr>
        <w:pStyle w:val="NormalWeb"/>
        <w:spacing w:before="120" w:beforeAutospacing="0" w:after="0" w:afterAutospacing="0"/>
      </w:pPr>
      <w:r>
        <w:rPr>
          <w:rFonts w:ascii="Arial" w:hAnsi="Arial" w:cs="Arial"/>
        </w:rPr>
        <w:t xml:space="preserve">Taking into account our cash flows from operations, cash flows from financing activities and cash used in investing activities, we had net cash outflow of Ch$1,417 million for the year ended December 31, 2010 compared to a net cash </w:t>
      </w:r>
      <w:r>
        <w:rPr>
          <w:rFonts w:ascii="Arial" w:hAnsi="Arial" w:cs="Arial"/>
        </w:rPr>
        <w:t xml:space="preserve">inflow of Ch$1,458 million for the year ended December 31, 2009. </w:t>
      </w:r>
    </w:p>
    <w:p w:rsidR="00000000" w:rsidRDefault="003E5AFF">
      <w:pPr>
        <w:pStyle w:val="NormalWeb"/>
        <w:spacing w:before="120" w:beforeAutospacing="0" w:after="0" w:afterAutospacing="0"/>
      </w:pPr>
      <w:r>
        <w:rPr>
          <w:rFonts w:ascii="Arial" w:hAnsi="Arial" w:cs="Arial"/>
          <w:u w:val="single"/>
        </w:rPr>
        <w:t>Operating activities</w:t>
      </w:r>
      <w:r>
        <w:rPr>
          <w:rFonts w:ascii="Arial" w:hAnsi="Arial" w:cs="Arial"/>
        </w:rPr>
        <w:t>.    Our net cash flows from operations decreased 39.7% to Ch 407,174 million the year ended December 31, 2010 from Ch$675,653 million for the year ended December 31, 200</w:t>
      </w:r>
      <w:r>
        <w:rPr>
          <w:rFonts w:ascii="Arial" w:hAnsi="Arial" w:cs="Arial"/>
        </w:rPr>
        <w:t xml:space="preserve">9. This change was primarily due to an increase of Ch$870,047 million in payments to suppliers, partially offset by an increase of Ch$759,412 in cash sales. </w:t>
      </w:r>
    </w:p>
    <w:p w:rsidR="00000000" w:rsidRDefault="003E5AFF">
      <w:pPr>
        <w:pStyle w:val="NormalWeb"/>
        <w:spacing w:before="120" w:beforeAutospacing="0" w:after="0" w:afterAutospacing="0"/>
      </w:pPr>
      <w:r>
        <w:rPr>
          <w:rFonts w:ascii="Arial" w:hAnsi="Arial" w:cs="Arial"/>
          <w:u w:val="single"/>
        </w:rPr>
        <w:t>Investing activities</w:t>
      </w:r>
      <w:r>
        <w:rPr>
          <w:rFonts w:ascii="Arial" w:hAnsi="Arial" w:cs="Arial"/>
        </w:rPr>
        <w:t xml:space="preserve">.    Our net cash flows from investing activities decreased </w:t>
      </w:r>
      <w:r>
        <w:rPr>
          <w:rFonts w:ascii="Arial" w:hAnsi="Arial" w:cs="Arial"/>
        </w:rPr>
        <w:t>4.0% to Ch$413,676 million the year ended December 31, 2010 from Ch$430,959 million the year ended December 31, 2009. This change was primarily due to an increase in cash used for acquisitions of Ch$296,699 million and an increase of Ch$158,657 used in cap</w:t>
      </w:r>
      <w:r>
        <w:rPr>
          <w:rFonts w:ascii="Arial" w:hAnsi="Arial" w:cs="Arial"/>
        </w:rPr>
        <w:t xml:space="preserve">ital expenditures, partially offset by an inflow of Ch$475,478 million due to the liquidation of short-term investments and lower amounts of short-term investments made in 2010. </w:t>
      </w:r>
    </w:p>
    <w:p w:rsidR="00000000" w:rsidRDefault="003E5AFF">
      <w:pPr>
        <w:pStyle w:val="NormalWeb"/>
        <w:spacing w:before="120" w:beforeAutospacing="0" w:after="0" w:afterAutospacing="0"/>
      </w:pPr>
      <w:r>
        <w:rPr>
          <w:rFonts w:ascii="Arial" w:hAnsi="Arial" w:cs="Arial"/>
          <w:u w:val="single"/>
        </w:rPr>
        <w:t>Financing activities</w:t>
      </w:r>
      <w:r>
        <w:rPr>
          <w:rFonts w:ascii="Arial" w:hAnsi="Arial" w:cs="Arial"/>
        </w:rPr>
        <w:t>.    In the year ended December 31, 2010, we derived $5,0</w:t>
      </w:r>
      <w:r>
        <w:rPr>
          <w:rFonts w:ascii="Arial" w:hAnsi="Arial" w:cs="Arial"/>
        </w:rPr>
        <w:t>86 million from financing activities as compared to an outflow of Ch$243,236 million the year ended December 31, 2009. This change was primarily due to an increase of Ch$67,656 million in borrowings and a decrease of Ch$180,363 million in debt repayment, p</w:t>
      </w:r>
      <w:r>
        <w:rPr>
          <w:rFonts w:ascii="Arial" w:hAnsi="Arial" w:cs="Arial"/>
        </w:rPr>
        <w:t xml:space="preserve">artially offset by lower proceeds from capital issuances of Ch$85,318 million.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- 151 - </w:t>
      </w:r>
    </w:p>
    <w:p w:rsidR="00000000" w:rsidRDefault="003E5AFF">
      <w:pPr>
        <w:rPr>
          <w:rFonts w:eastAsia="Times New Roman" w:cs="Times New Roman"/>
        </w:rPr>
      </w:pPr>
      <w:r>
        <w:rPr>
          <w:rFonts w:eastAsia="Times New Roman" w:cs="Times New Roman"/>
        </w:rPr>
        <w:pict>
          <v:rect id="_x0000_i1185" style="width:441.9pt;height:3pt" o:hralign="center" o:hrstd="t" o:hrnoshade="t" o:hr="t" fillcolor="#999" stroked="f"/>
        </w:pict>
      </w:r>
    </w:p>
    <w:p w:rsidR="00000000" w:rsidRDefault="003E5AFF">
      <w:pPr>
        <w:pStyle w:val="Heading5"/>
        <w:rPr>
          <w:rFonts w:eastAsia="Times New Roman" w:cs="Times New Roman"/>
        </w:rPr>
      </w:pPr>
      <w:hyperlink r:id="rId202"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b/>
          <w:bCs/>
          <w:i/>
          <w:iCs/>
        </w:rPr>
        <w:t xml:space="preserve">Capital expenditures and permanent investments </w:t>
      </w:r>
    </w:p>
    <w:p w:rsidR="00000000" w:rsidRDefault="003E5AFF">
      <w:pPr>
        <w:pStyle w:val="NormalWeb"/>
        <w:spacing w:before="120" w:beforeAutospacing="0" w:after="0" w:afterAutospacing="0"/>
      </w:pPr>
      <w:r>
        <w:rPr>
          <w:rFonts w:ascii="Arial" w:hAnsi="Arial" w:cs="Arial"/>
        </w:rPr>
        <w:t xml:space="preserve">The following table presents our capital expenditures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346"/>
        <w:gridCol w:w="38"/>
        <w:gridCol w:w="624"/>
        <w:gridCol w:w="1343"/>
        <w:gridCol w:w="123"/>
        <w:gridCol w:w="38"/>
        <w:gridCol w:w="367"/>
        <w:gridCol w:w="790"/>
        <w:gridCol w:w="123"/>
        <w:gridCol w:w="38"/>
        <w:gridCol w:w="367"/>
        <w:gridCol w:w="790"/>
        <w:gridCol w:w="123"/>
        <w:gridCol w:w="38"/>
        <w:gridCol w:w="367"/>
        <w:gridCol w:w="790"/>
        <w:gridCol w:w="123"/>
      </w:tblGrid>
      <w:tr w:rsidR="00000000">
        <w:trPr>
          <w:jc w:val="center"/>
        </w:trPr>
        <w:tc>
          <w:tcPr>
            <w:tcW w:w="2000" w:type="pct"/>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r>
              <w:rPr>
                <w:rFonts w:ascii="Arial" w:eastAsia="Times New Roman" w:hAnsi="Arial" w:cs="Arial"/>
                <w:b/>
                <w:bCs/>
              </w:rPr>
              <w:br/>
              <w:t>(unaudited)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Years ended</w:t>
            </w:r>
            <w:r>
              <w:rPr>
                <w:rFonts w:eastAsia="Times New Roman" w:cs="Times New Roman"/>
              </w:rPr>
              <w:br/>
            </w:r>
            <w:r>
              <w:rPr>
                <w:rFonts w:ascii="Arial" w:eastAsia="Times New Roman" w:hAnsi="Arial" w:cs="Arial"/>
                <w:b/>
                <w:bCs/>
              </w:rPr>
              <w:t>December 31,</w:t>
            </w:r>
            <w:r>
              <w:rPr>
                <w:rFonts w:eastAsia="Times New Roman" w:cs="Times New Roman"/>
              </w:rPr>
              <w:br/>
            </w:r>
            <w:r>
              <w:rPr>
                <w:rFonts w:ascii="Arial" w:eastAsia="Times New Roman" w:hAnsi="Arial" w:cs="Arial"/>
                <w:b/>
                <w:bCs/>
              </w:rPr>
              <w:t>(audited)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Capital expenditures(1)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(145,228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(616,336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(349,793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(191,136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noWrap/>
            <w:hideMark/>
          </w:tcPr>
          <w:p w:rsidR="00000000" w:rsidRDefault="003E5AFF">
            <w:pPr>
              <w:pStyle w:val="NormalWeb"/>
              <w:ind w:left="240" w:hanging="240"/>
            </w:pPr>
            <w:r>
              <w:rPr>
                <w:rFonts w:ascii="Arial" w:hAnsi="Arial" w:cs="Arial"/>
              </w:rPr>
              <w:t>Permanent investments(2)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(119,401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(21,576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(299,092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(264,629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(637,912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(648,885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(193,528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Purchase of property, plant and equipment.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Primarily investments in acquired companies. See _Management_s Discussion and Analysis of Results of Operations_Trends and Factors Affecting Our Results of Operations_Impact of Acquisitions_ for additional details regarding our acquisition activities in re</w:t>
            </w:r>
            <w:r>
              <w:rPr>
                <w:rFonts w:ascii="Arial" w:eastAsia="Times New Roman" w:hAnsi="Arial" w:cs="Arial"/>
                <w:sz w:val="15"/>
                <w:szCs w:val="15"/>
              </w:rPr>
              <w:t xml:space="preserve">cent years. </w:t>
            </w:r>
          </w:p>
        </w:tc>
      </w:tr>
    </w:tbl>
    <w:p w:rsidR="00000000" w:rsidRDefault="003E5AFF">
      <w:pPr>
        <w:pStyle w:val="NormalWeb"/>
        <w:spacing w:before="120" w:beforeAutospacing="0" w:after="0" w:afterAutospacing="0"/>
      </w:pPr>
      <w:r>
        <w:rPr>
          <w:rFonts w:ascii="Arial" w:hAnsi="Arial" w:cs="Arial"/>
        </w:rPr>
        <w:t xml:space="preserve">Our total capital expenditures were approximately Ch$616,336 million in 2011, Ch$349,793 million in 2010 and Ch$191,136 million in 2009. In each of these years, our capital expenditures were made primarily to develop and expand our stores and </w:t>
      </w:r>
      <w:r>
        <w:rPr>
          <w:rFonts w:ascii="Arial" w:hAnsi="Arial" w:cs="Arial"/>
        </w:rPr>
        <w:t>shopping centers. In addition to our capital expenditures, we invested in permanent investments Ch$21,576 in 2011, Ch$299,092 in 2010, Ch$2,392 million in 2009. These investments were primarily related to acquisitions. See _Management_s Discussion and Anal</w:t>
      </w:r>
      <w:r>
        <w:rPr>
          <w:rFonts w:ascii="Arial" w:hAnsi="Arial" w:cs="Arial"/>
        </w:rPr>
        <w:t xml:space="preserve">ysis of Results of Operations_Trends and Factors Affecting Our Results of Operations_Impact of Acquisitions_ for additional details regarding our acquisition activities in recent years. </w:t>
      </w:r>
    </w:p>
    <w:p w:rsidR="00000000" w:rsidRDefault="003E5AFF">
      <w:pPr>
        <w:pStyle w:val="NormalWeb"/>
        <w:spacing w:before="120" w:beforeAutospacing="0" w:after="0" w:afterAutospacing="0"/>
      </w:pPr>
      <w:r>
        <w:rPr>
          <w:rFonts w:ascii="Arial" w:hAnsi="Arial" w:cs="Arial"/>
        </w:rPr>
        <w:t>In 2012, we expect to invest approximately U.S.$1,285 million to open</w:t>
      </w:r>
      <w:r>
        <w:rPr>
          <w:rFonts w:ascii="Arial" w:hAnsi="Arial" w:cs="Arial"/>
        </w:rPr>
        <w:t xml:space="preserve"> new supermarkets, department stores, home improvement stores and shopping centers. In Chile, we will invest U.S.$413 million in 33 new stores and 2 shopping centers (Costanera Center and Portal Osorno) in areas where we still see opportunity for growth. I</w:t>
      </w:r>
      <w:r>
        <w:rPr>
          <w:rFonts w:ascii="Arial" w:hAnsi="Arial" w:cs="Arial"/>
        </w:rPr>
        <w:t>n Brazil, we plan to invest U.S.$198 million for the opening of 16 new stores. In Peru, the investment plan totals U.S.$119 million and includes the opening of 15 new supermarkets, 1 Paris store and the development of a new shopping center. In Argentina, w</w:t>
      </w:r>
      <w:r>
        <w:rPr>
          <w:rFonts w:ascii="Arial" w:hAnsi="Arial" w:cs="Arial"/>
        </w:rPr>
        <w:t>e plan to invest U.S.$147 million for the opening of 27 new stores. In Colombia, we plan to invest U.S.$3 million for the opening of a new Easy store. In addition, we plan to invest U.S.$106 million in information technology projects for the improvement of</w:t>
      </w:r>
      <w:r>
        <w:rPr>
          <w:rFonts w:ascii="Arial" w:hAnsi="Arial" w:cs="Arial"/>
        </w:rPr>
        <w:t xml:space="preserve"> operation_s efficiency. Finally, we also plan to invest U.S.$299 million in the purchase of new land areas for the development of futures stores and shopping malls, as well as the annual maintenance of the investments. </w:t>
      </w:r>
    </w:p>
    <w:p w:rsidR="00000000" w:rsidRDefault="003E5AFF">
      <w:pPr>
        <w:pStyle w:val="NormalWeb"/>
        <w:spacing w:before="120" w:beforeAutospacing="0" w:after="0" w:afterAutospacing="0"/>
      </w:pPr>
      <w:r>
        <w:rPr>
          <w:rFonts w:ascii="Arial" w:hAnsi="Arial" w:cs="Arial"/>
        </w:rPr>
        <w:t xml:space="preserve">Our projected capital expenditures </w:t>
      </w:r>
      <w:r>
        <w:rPr>
          <w:rFonts w:ascii="Arial" w:hAnsi="Arial" w:cs="Arial"/>
        </w:rPr>
        <w:t xml:space="preserve">may vary substantially from the numbers set forth above as a result of a variety of factors including competition and the cost and availability of the necessary funds. </w:t>
      </w:r>
    </w:p>
    <w:p w:rsidR="00000000" w:rsidRDefault="003E5AFF">
      <w:pPr>
        <w:pStyle w:val="NormalWeb"/>
        <w:spacing w:before="120" w:beforeAutospacing="0" w:after="0" w:afterAutospacing="0"/>
      </w:pPr>
      <w:r>
        <w:rPr>
          <w:rFonts w:ascii="Arial" w:hAnsi="Arial" w:cs="Arial"/>
        </w:rPr>
        <w:t>We expect to finance our future capital expenditures with our operating cash flow, with</w:t>
      </w:r>
      <w:r>
        <w:rPr>
          <w:rFonts w:ascii="Arial" w:hAnsi="Arial" w:cs="Arial"/>
        </w:rPr>
        <w:t xml:space="preserve"> bank loans, and with the net proceeds of the global offering.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- 152 - </w:t>
      </w:r>
    </w:p>
    <w:p w:rsidR="00000000" w:rsidRDefault="003E5AFF">
      <w:pPr>
        <w:rPr>
          <w:rFonts w:eastAsia="Times New Roman" w:cs="Times New Roman"/>
        </w:rPr>
      </w:pPr>
      <w:r>
        <w:rPr>
          <w:rFonts w:eastAsia="Times New Roman" w:cs="Times New Roman"/>
        </w:rPr>
        <w:pict>
          <v:rect id="_x0000_i1186" style="width:441.9pt;height:3pt" o:hralign="center" o:hrstd="t" o:hrnoshade="t" o:hr="t" fillcolor="#999" stroked="f"/>
        </w:pict>
      </w:r>
    </w:p>
    <w:p w:rsidR="00000000" w:rsidRDefault="003E5AFF">
      <w:pPr>
        <w:pStyle w:val="Heading5"/>
        <w:rPr>
          <w:rFonts w:eastAsia="Times New Roman" w:cs="Times New Roman"/>
        </w:rPr>
      </w:pPr>
      <w:hyperlink r:id="rId20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Contractual commitments </w:t>
      </w:r>
    </w:p>
    <w:p w:rsidR="00000000" w:rsidRDefault="003E5AFF">
      <w:pPr>
        <w:pStyle w:val="NormalWeb"/>
        <w:spacing w:before="120" w:beforeAutospacing="0" w:after="0" w:afterAutospacing="0"/>
      </w:pPr>
      <w:r>
        <w:rPr>
          <w:rFonts w:ascii="Arial" w:hAnsi="Arial" w:cs="Arial"/>
          <w:b/>
          <w:bCs/>
          <w:i/>
          <w:iCs/>
        </w:rPr>
        <w:t xml:space="preserve">Contractual commitments </w:t>
      </w:r>
    </w:p>
    <w:p w:rsidR="00000000" w:rsidRDefault="003E5AFF">
      <w:pPr>
        <w:pStyle w:val="NormalWeb"/>
        <w:spacing w:before="120" w:beforeAutospacing="0" w:after="0" w:afterAutospacing="0"/>
      </w:pPr>
      <w:r>
        <w:rPr>
          <w:rFonts w:ascii="Arial" w:hAnsi="Arial" w:cs="Arial"/>
        </w:rPr>
        <w:t xml:space="preserve">The following table summarizes our significant contractual obligations and commitments as of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378"/>
        <w:gridCol w:w="101"/>
        <w:gridCol w:w="56"/>
        <w:gridCol w:w="890"/>
        <w:gridCol w:w="112"/>
        <w:gridCol w:w="101"/>
        <w:gridCol w:w="63"/>
        <w:gridCol w:w="1005"/>
        <w:gridCol w:w="112"/>
        <w:gridCol w:w="101"/>
        <w:gridCol w:w="66"/>
        <w:gridCol w:w="858"/>
        <w:gridCol w:w="112"/>
        <w:gridCol w:w="101"/>
        <w:gridCol w:w="58"/>
        <w:gridCol w:w="921"/>
        <w:gridCol w:w="112"/>
        <w:gridCol w:w="101"/>
        <w:gridCol w:w="56"/>
        <w:gridCol w:w="890"/>
        <w:gridCol w:w="112"/>
      </w:tblGrid>
      <w:tr w:rsidR="00000000">
        <w:trPr>
          <w:jc w:val="center"/>
        </w:trPr>
        <w:tc>
          <w:tcPr>
            <w:tcW w:w="23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Less than</w:t>
            </w:r>
            <w:r>
              <w:rPr>
                <w:rFonts w:ascii="Arial" w:eastAsia="Times New Roman" w:hAnsi="Arial" w:cs="Arial"/>
                <w:b/>
                <w:bCs/>
              </w:rPr>
              <w:br/>
              <w:t>one year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One to</w:t>
            </w:r>
            <w:r>
              <w:rPr>
                <w:rFonts w:ascii="Arial" w:eastAsia="Times New Roman" w:hAnsi="Arial" w:cs="Arial"/>
                <w:b/>
                <w:bCs/>
              </w:rPr>
              <w:br/>
              <w:t>three </w:t>
            </w:r>
            <w:r>
              <w:rPr>
                <w:rFonts w:ascii="Arial" w:eastAsia="Times New Roman" w:hAnsi="Arial" w:cs="Arial"/>
                <w:b/>
                <w:bCs/>
              </w:rPr>
              <w:t>years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to</w:t>
            </w:r>
            <w:r>
              <w:rPr>
                <w:rFonts w:ascii="Arial" w:eastAsia="Times New Roman" w:hAnsi="Arial" w:cs="Arial"/>
                <w:b/>
                <w:bCs/>
              </w:rPr>
              <w:br/>
              <w:t>five years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Thereafter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Long-term debt obligations(1)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501,195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461,623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1,536,361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2,499,179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Short-term debt obligations(1)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246,829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246,829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Time deposits and other bank balances(2)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149,011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12,102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165,394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Lease obligations and other financial liabilities(3)</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105,983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455,998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563,574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Commercial loans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1,623,319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93,872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938,819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2,656,011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Tax liabilities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40,490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40,490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Other financial liabilities(4)</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252,598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252,598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vAlign w:val="bottom"/>
            <w:hideMark/>
          </w:tcPr>
          <w:p w:rsidR="00000000" w:rsidRDefault="003E5AFF">
            <w:pPr>
              <w:rPr>
                <w:rFonts w:eastAsia="Times New Roman" w:cs="Times New Roman"/>
                <w:sz w:val="2"/>
                <w:szCs w:val="2"/>
              </w:rPr>
            </w:pP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top w:val="single" w:sz="6" w:space="0" w:color="000000"/>
              </w:pBdr>
              <w:rPr>
                <w:sz w:val="2"/>
                <w:szCs w:val="2"/>
              </w:rPr>
            </w:pPr>
            <w:r>
              <w:rPr>
                <w:sz w:val="2"/>
                <w:szCs w:val="2"/>
              </w:rPr>
              <w:t> </w:t>
            </w:r>
          </w:p>
        </w:tc>
        <w:tc>
          <w:tcPr>
            <w:tcW w:w="0" w:type="auto"/>
            <w:gridSpan w:val="17"/>
            <w:vAlign w:val="bottom"/>
            <w:hideMark/>
          </w:tcPr>
          <w:p w:rsidR="00000000" w:rsidRDefault="003E5AFF">
            <w:pPr>
              <w:pStyle w:val="NormalWeb"/>
              <w:pBdr>
                <w:top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Total(5)</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2,418,231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1,053,362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465,199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2,487,282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6,424,075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Short-term obligations include the short-term portion of the long-term debt and accrued interest expenses. Long-term obligations and short-term obligations include future interest payments.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future interest payments.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pending installments from the purchase of Bretas and future interest payments.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Namely, the UBS Put Option (as defined below). Includes future interest payments.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(5)</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Not including the contractual commitments arising from our acquisition of Prezunic in January 2012. </w:t>
            </w:r>
          </w:p>
        </w:tc>
      </w:tr>
    </w:tbl>
    <w:p w:rsidR="00000000" w:rsidRDefault="003E5AFF">
      <w:pPr>
        <w:pStyle w:val="NormalWeb"/>
        <w:spacing w:before="240" w:beforeAutospacing="0" w:after="0" w:afterAutospacing="0"/>
      </w:pPr>
      <w:r>
        <w:rPr>
          <w:rFonts w:ascii="Arial" w:hAnsi="Arial" w:cs="Arial"/>
          <w:b/>
          <w:bCs/>
          <w:sz w:val="24"/>
          <w:szCs w:val="24"/>
        </w:rPr>
        <w:t xml:space="preserve">Qualitative and quantitative disclosure about market risk </w:t>
      </w:r>
    </w:p>
    <w:p w:rsidR="00000000" w:rsidRDefault="003E5AFF">
      <w:pPr>
        <w:pStyle w:val="NormalWeb"/>
        <w:spacing w:before="120" w:beforeAutospacing="0" w:after="0" w:afterAutospacing="0"/>
      </w:pPr>
      <w:r>
        <w:rPr>
          <w:rFonts w:ascii="Arial" w:hAnsi="Arial" w:cs="Arial"/>
        </w:rPr>
        <w:t xml:space="preserve">Market risk generally represents the risk that </w:t>
      </w:r>
      <w:r>
        <w:rPr>
          <w:rFonts w:ascii="Arial" w:hAnsi="Arial" w:cs="Arial"/>
        </w:rPr>
        <w:t>losses may occur in the values of financial instruments as a result of movements in interest rates, foreign currency exchange rates or commodity prices. We are exposed to changes in financial market conditions in the normal course of business due to our us</w:t>
      </w:r>
      <w:r>
        <w:rPr>
          <w:rFonts w:ascii="Arial" w:hAnsi="Arial" w:cs="Arial"/>
        </w:rPr>
        <w:t>e of certain financial instruments as well as transactions incurred in various foreign currencies and translating our foreign subsidiaries_ financial statements into Chilean pesos. For further information on our market risks, please see Notes 3.2.1.8 and 1</w:t>
      </w:r>
      <w:r>
        <w:rPr>
          <w:rFonts w:ascii="Arial" w:hAnsi="Arial" w:cs="Arial"/>
        </w:rPr>
        <w:t xml:space="preserve">6 to our Audited Consolidated Financial Statements. </w:t>
      </w:r>
    </w:p>
    <w:p w:rsidR="00000000" w:rsidRDefault="003E5AFF">
      <w:pPr>
        <w:pStyle w:val="NormalWeb"/>
        <w:spacing w:before="240" w:beforeAutospacing="0" w:after="0" w:afterAutospacing="0"/>
      </w:pPr>
      <w:r>
        <w:rPr>
          <w:rFonts w:ascii="Arial" w:hAnsi="Arial" w:cs="Arial"/>
          <w:b/>
          <w:bCs/>
          <w:i/>
          <w:iCs/>
        </w:rPr>
        <w:t xml:space="preserve">Interest rate risk </w:t>
      </w:r>
    </w:p>
    <w:p w:rsidR="00000000" w:rsidRDefault="003E5AFF">
      <w:pPr>
        <w:pStyle w:val="NormalWeb"/>
        <w:spacing w:before="120" w:beforeAutospacing="0" w:after="0" w:afterAutospacing="0"/>
      </w:pPr>
      <w:r>
        <w:rPr>
          <w:rFonts w:ascii="Arial" w:hAnsi="Arial" w:cs="Arial"/>
        </w:rPr>
        <w:t xml:space="preserve">Our primary interest rate exposures relate to our Chilean peso-denominated and U.S. dollar-denominated long-term fixed and floating rate bond and bank liabilities. Since a portion of </w:t>
      </w:r>
      <w:r>
        <w:rPr>
          <w:rFonts w:ascii="Arial" w:hAnsi="Arial" w:cs="Arial"/>
        </w:rPr>
        <w:t>our outstanding debt bears interest at variable rates, we are sensitive to changes in interest rates. Taking into account the effects of cross-currency swaps, at March 31, 2012, we had total financed debt outstanding (bank loans and bonds) of Ch$ 2,165,048</w:t>
      </w:r>
      <w:r>
        <w:rPr>
          <w:rFonts w:ascii="Arial" w:hAnsi="Arial" w:cs="Arial"/>
        </w:rPr>
        <w:t> million, of which Ch$ 951,854 million, or 44.0% bore interest at variable interest rates. Interest rate changes would result in gains or losses in the market value of our debt portfolio due to differences in market interest rates and the rates in the debt</w:t>
      </w:r>
      <w:r>
        <w:rPr>
          <w:rFonts w:ascii="Arial" w:hAnsi="Arial" w:cs="Arial"/>
        </w:rPr>
        <w:t xml:space="preserve"> agreements. We frequently monitor our exposure to interest rate fluctuations. We regularly examine our strategy with regard to hedging.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- 153 - </w:t>
      </w:r>
    </w:p>
    <w:p w:rsidR="00000000" w:rsidRDefault="003E5AFF">
      <w:pPr>
        <w:rPr>
          <w:rFonts w:eastAsia="Times New Roman" w:cs="Times New Roman"/>
        </w:rPr>
      </w:pPr>
      <w:r>
        <w:rPr>
          <w:rFonts w:eastAsia="Times New Roman" w:cs="Times New Roman"/>
        </w:rPr>
        <w:pict>
          <v:rect id="_x0000_i1187" style="width:441.9pt;height:3pt" o:hralign="center" o:hrstd="t" o:hrnoshade="t" o:hr="t" fillcolor="#999" stroked="f"/>
        </w:pict>
      </w:r>
    </w:p>
    <w:p w:rsidR="00000000" w:rsidRDefault="003E5AFF">
      <w:pPr>
        <w:pStyle w:val="Heading5"/>
        <w:rPr>
          <w:rFonts w:eastAsia="Times New Roman" w:cs="Times New Roman"/>
        </w:rPr>
      </w:pPr>
      <w:hyperlink r:id="rId20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Foreign currency risk </w:t>
      </w:r>
    </w:p>
    <w:p w:rsidR="00000000" w:rsidRDefault="003E5AFF">
      <w:pPr>
        <w:pStyle w:val="NormalWeb"/>
        <w:spacing w:before="120" w:beforeAutospacing="0" w:after="0" w:afterAutospacing="0"/>
      </w:pPr>
      <w:r>
        <w:rPr>
          <w:rFonts w:ascii="Arial" w:hAnsi="Arial" w:cs="Arial"/>
        </w:rPr>
        <w:t>At March 31, 2012, a portion of our long-term interest-bearing debt is expos</w:t>
      </w:r>
      <w:r>
        <w:rPr>
          <w:rFonts w:ascii="Arial" w:hAnsi="Arial" w:cs="Arial"/>
        </w:rPr>
        <w:t>ed to exchange rate fluctuations between the Chilean peso and the U.S. dollar. From time to time we enter into physical and cash settled foreign exchange contracts to cover the foreign exchange risk inherent in the actual cash disbursements related to amor</w:t>
      </w:r>
      <w:r>
        <w:rPr>
          <w:rFonts w:ascii="Arial" w:hAnsi="Arial" w:cs="Arial"/>
        </w:rPr>
        <w:t>tizations of foreign currency denominated debt. Including the effect of cross currency swaps, at March 31, 2012, we had outstanding foreign exchange contracts with notional amounts of U.S.$ 980 million dollars to hedge future debt payments denominated in U</w:t>
      </w:r>
      <w:r>
        <w:rPr>
          <w:rFonts w:ascii="Arial" w:hAnsi="Arial" w:cs="Arial"/>
        </w:rPr>
        <w:t xml:space="preserve">.S. dollars. At March 31, 2012, approximately 9.0% of our debt was denominated in U.S. dollars, 28.0% in UF, 50.0% in Chilean pesos, 2.0% in Argentinian pesos, 6.0% in Peruvian nuevos soles and 5.0% in Brazilian reais. </w:t>
      </w:r>
    </w:p>
    <w:p w:rsidR="00000000" w:rsidRDefault="003E5AFF">
      <w:pPr>
        <w:pStyle w:val="NormalWeb"/>
        <w:spacing w:before="240" w:beforeAutospacing="0" w:after="0" w:afterAutospacing="0"/>
      </w:pPr>
      <w:r>
        <w:rPr>
          <w:rFonts w:ascii="Arial" w:hAnsi="Arial" w:cs="Arial"/>
          <w:b/>
          <w:bCs/>
          <w:sz w:val="24"/>
          <w:szCs w:val="24"/>
        </w:rPr>
        <w:t xml:space="preserve">Off-balance sheet arrangements </w:t>
      </w:r>
    </w:p>
    <w:p w:rsidR="00000000" w:rsidRDefault="003E5AFF">
      <w:pPr>
        <w:pStyle w:val="NormalWeb"/>
        <w:spacing w:before="120" w:beforeAutospacing="0" w:after="0" w:afterAutospacing="0"/>
      </w:pPr>
      <w:r>
        <w:rPr>
          <w:rFonts w:ascii="Arial" w:hAnsi="Arial" w:cs="Arial"/>
        </w:rPr>
        <w:t xml:space="preserve">For </w:t>
      </w:r>
      <w:r>
        <w:rPr>
          <w:rFonts w:ascii="Arial" w:hAnsi="Arial" w:cs="Arial"/>
        </w:rPr>
        <w:t>any of the periods presented, we did not have any off-balance sheet transactions, arrangements or obligations with unconsolidated entities or otherwise that are reasonably likely to have a material effect on our financial condition, results of operations o</w:t>
      </w:r>
      <w:r>
        <w:rPr>
          <w:rFonts w:ascii="Arial" w:hAnsi="Arial" w:cs="Arial"/>
        </w:rPr>
        <w:t xml:space="preserve">r liquidity. </w:t>
      </w:r>
    </w:p>
    <w:p w:rsidR="00000000" w:rsidRDefault="003E5AFF">
      <w:pPr>
        <w:pStyle w:val="NormalWeb"/>
        <w:spacing w:before="240" w:beforeAutospacing="0" w:after="0" w:afterAutospacing="0"/>
      </w:pPr>
      <w:r>
        <w:rPr>
          <w:rFonts w:ascii="Arial" w:hAnsi="Arial" w:cs="Arial"/>
          <w:b/>
          <w:bCs/>
          <w:sz w:val="24"/>
          <w:szCs w:val="24"/>
        </w:rPr>
        <w:t xml:space="preserve">Significant changes </w:t>
      </w:r>
    </w:p>
    <w:p w:rsidR="00000000" w:rsidRDefault="003E5AFF">
      <w:pPr>
        <w:pStyle w:val="NormalWeb"/>
        <w:spacing w:before="120" w:beforeAutospacing="0" w:after="0" w:afterAutospacing="0"/>
      </w:pPr>
      <w:r>
        <w:rPr>
          <w:rFonts w:ascii="Arial" w:hAnsi="Arial" w:cs="Arial"/>
        </w:rPr>
        <w:t xml:space="preserve">There have been no significant changes since the date of our Audited Consolidated Financial Statements included elsewhere in this prospectus.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- 154 - </w:t>
      </w:r>
    </w:p>
    <w:p w:rsidR="00000000" w:rsidRDefault="003E5AFF">
      <w:pPr>
        <w:rPr>
          <w:rFonts w:eastAsia="Times New Roman" w:cs="Times New Roman"/>
        </w:rPr>
      </w:pPr>
      <w:r>
        <w:rPr>
          <w:rFonts w:eastAsia="Times New Roman" w:cs="Times New Roman"/>
        </w:rPr>
        <w:pict>
          <v:rect id="_x0000_i1188" style="width:441.9pt;height:3pt" o:hralign="center" o:hrstd="t" o:hrnoshade="t" o:hr="t" fillcolor="#999" stroked="f"/>
        </w:pict>
      </w:r>
    </w:p>
    <w:p w:rsidR="00000000" w:rsidRDefault="003E5AFF">
      <w:pPr>
        <w:pStyle w:val="Heading5"/>
        <w:rPr>
          <w:rFonts w:eastAsia="Times New Roman" w:cs="Times New Roman"/>
        </w:rPr>
      </w:pPr>
      <w:hyperlink r:id="rId20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19" w:name="rom343004_18"/>
      <w:bookmarkEnd w:id="19"/>
      <w:r>
        <w:rPr>
          <w:rFonts w:ascii="Arial" w:hAnsi="Arial" w:cs="Arial"/>
          <w:b/>
          <w:bCs/>
          <w:sz w:val="36"/>
          <w:szCs w:val="36"/>
        </w:rPr>
        <w:t xml:space="preserve">Industry overview and competition </w:t>
      </w:r>
    </w:p>
    <w:p w:rsidR="00000000" w:rsidRDefault="003E5AFF">
      <w:pPr>
        <w:pStyle w:val="NormalWeb"/>
        <w:spacing w:before="120" w:beforeAutospacing="0" w:after="0" w:afterAutospacing="0"/>
      </w:pPr>
      <w:r>
        <w:rPr>
          <w:rFonts w:ascii="Arial" w:hAnsi="Arial" w:cs="Arial"/>
        </w:rPr>
        <w:t xml:space="preserve">Our countries of operation_Argentina, Brazil, Chile, Colombia and Peru_represent a combined population of approximately 331.0 million, according to the IMF. Chile, our largest </w:t>
      </w:r>
      <w:r>
        <w:rPr>
          <w:rFonts w:ascii="Arial" w:hAnsi="Arial" w:cs="Arial"/>
        </w:rPr>
        <w:t>market in terms of revenues from ordinary activities, has a population of approximately 17.3 million and experienced GDP growth of 6.1% in 2010 and 6.0% in 2011, as reported by the Central Bank of Chile. Argentina, our second-largest market in terms of rev</w:t>
      </w:r>
      <w:r>
        <w:rPr>
          <w:rFonts w:ascii="Arial" w:hAnsi="Arial" w:cs="Arial"/>
        </w:rPr>
        <w:t>enues from ordinary activities, has a population of approximately 40.8 million and, according to the Central Bank of Argentina, experienced annual GDP growth of 9.2% in 2010 and 8.9% in 2011, as reported by the Argentine Ministry of Economy. Brazil, our th</w:t>
      </w:r>
      <w:r>
        <w:rPr>
          <w:rFonts w:ascii="Arial" w:hAnsi="Arial" w:cs="Arial"/>
        </w:rPr>
        <w:t>ird-largest market in terms of revenues from ordinary activities, has a population of approximately 196.7 million and, according to the Central Bank of Brazil, experienced annual GDP growth of approximately 7.5% in 2010 and according to Global Insight is e</w:t>
      </w:r>
      <w:r>
        <w:rPr>
          <w:rFonts w:ascii="Arial" w:hAnsi="Arial" w:cs="Arial"/>
        </w:rPr>
        <w:t xml:space="preserve">stimated to have grown by 2.7% in 2011. </w:t>
      </w:r>
    </w:p>
    <w:p w:rsidR="00000000" w:rsidRDefault="003E5AFF">
      <w:pPr>
        <w:pStyle w:val="NormalWeb"/>
        <w:spacing w:before="120" w:beforeAutospacing="0" w:after="0" w:afterAutospacing="0"/>
      </w:pPr>
      <w:r>
        <w:rPr>
          <w:rFonts w:ascii="Arial" w:hAnsi="Arial" w:cs="Arial"/>
        </w:rPr>
        <w:t>We have supermarkets in Argentina, Brazil, Chile and Peru; home improvement stores in Argentina, Chile and Colombia; shopping centers in Argentina, Chile and Peru; and department stores in Chile. During the first th</w:t>
      </w:r>
      <w:r>
        <w:rPr>
          <w:rFonts w:ascii="Arial" w:hAnsi="Arial" w:cs="Arial"/>
        </w:rPr>
        <w:t xml:space="preserve">ree months of 2012, 74.5% of our revenues from ordinary activities came from our supermarket operations, 12.0% came from home improvement operations, 8.5% from our department stores, 1.5% from our shopping centers and 3.3% from our financial services.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67"/>
        <w:gridCol w:w="79"/>
        <w:gridCol w:w="120"/>
        <w:gridCol w:w="1214"/>
        <w:gridCol w:w="112"/>
        <w:gridCol w:w="79"/>
        <w:gridCol w:w="113"/>
        <w:gridCol w:w="1144"/>
        <w:gridCol w:w="112"/>
        <w:gridCol w:w="79"/>
        <w:gridCol w:w="122"/>
        <w:gridCol w:w="990"/>
        <w:gridCol w:w="112"/>
        <w:gridCol w:w="79"/>
        <w:gridCol w:w="83"/>
        <w:gridCol w:w="839"/>
        <w:gridCol w:w="112"/>
        <w:gridCol w:w="79"/>
        <w:gridCol w:w="78"/>
        <w:gridCol w:w="789"/>
        <w:gridCol w:w="112"/>
        <w:gridCol w:w="79"/>
        <w:gridCol w:w="56"/>
        <w:gridCol w:w="634"/>
        <w:gridCol w:w="123"/>
      </w:tblGrid>
      <w:tr w:rsidR="00000000">
        <w:trPr>
          <w:jc w:val="center"/>
        </w:trPr>
        <w:tc>
          <w:tcPr>
            <w:tcW w:w="175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 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Home</w:t>
            </w:r>
            <w:r>
              <w:rPr>
                <w:rFonts w:ascii="Arial" w:eastAsia="Times New Roman" w:hAnsi="Arial" w:cs="Arial"/>
                <w:b/>
                <w:bCs/>
              </w:rPr>
              <w:br/>
              <w:t>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Department</w:t>
            </w:r>
            <w:r>
              <w:rPr>
                <w:rFonts w:ascii="Arial" w:eastAsia="Times New Roman" w:hAnsi="Arial" w:cs="Arial"/>
                <w:b/>
                <w:bCs/>
              </w:rPr>
              <w:br/>
              <w:t>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Shopping</w:t>
            </w:r>
            <w:r>
              <w:rPr>
                <w:rFonts w:ascii="Arial" w:eastAsia="Times New Roman" w:hAnsi="Arial" w:cs="Arial"/>
                <w:b/>
                <w:bCs/>
              </w:rPr>
              <w:br/>
              <w:t>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Financial</w:t>
            </w:r>
            <w:r>
              <w:rPr>
                <w:rFonts w:ascii="Arial" w:eastAsia="Times New Roman" w:hAnsi="Arial" w:cs="Arial"/>
                <w:b/>
                <w:bCs/>
              </w:rPr>
              <w:br/>
              <w:t>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Othe</w:t>
            </w:r>
            <w:r>
              <w:rPr>
                <w:rFonts w:ascii="Arial" w:eastAsia="Times New Roman" w:hAnsi="Arial" w:cs="Arial"/>
                <w:b/>
                <w:bCs/>
              </w:rPr>
              <w:t>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_Business_Our Business_ for a description of our _Other_ segment.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240" w:beforeAutospacing="0" w:after="0" w:afterAutospacing="0"/>
      </w:pPr>
      <w:r>
        <w:rPr>
          <w:rFonts w:ascii="Arial" w:hAnsi="Arial" w:cs="Arial"/>
          <w:b/>
          <w:bCs/>
          <w:sz w:val="24"/>
          <w:szCs w:val="24"/>
        </w:rPr>
        <w:t xml:space="preserve">The supermarket industry </w:t>
      </w:r>
    </w:p>
    <w:p w:rsidR="00000000" w:rsidRDefault="003E5AFF">
      <w:pPr>
        <w:pStyle w:val="NormalWeb"/>
        <w:spacing w:before="120" w:beforeAutospacing="0" w:after="0" w:afterAutospacing="0"/>
      </w:pP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rPr>
        <w:t>As of December 31, 2011, we estimate that the Chilean supermarket industry is co</w:t>
      </w:r>
      <w:r>
        <w:rPr>
          <w:rFonts w:ascii="Arial" w:hAnsi="Arial" w:cs="Arial"/>
        </w:rPr>
        <w:t>mposed of approximately 1,233 stores nationwide, including hypermarkets and supermarkets. INE estimates the size of industry at CLP6.715 billion in 2011. According to ASACH, in 2011 supermarkets accounted for approximately 26.0% of net retail sales in Chil</w:t>
      </w:r>
      <w:r>
        <w:rPr>
          <w:rFonts w:ascii="Arial" w:hAnsi="Arial" w:cs="Arial"/>
        </w:rPr>
        <w:t>e and approximately 43.0% of such net sales in the Santiago metropolitan region. As of December 31, 2011, total net sales by supermarkets in Chile grew by 8.9% as compared to the same period in 2010, according to the Chilean National Institute of Statistic</w:t>
      </w:r>
      <w:r>
        <w:rPr>
          <w:rFonts w:ascii="Arial" w:hAnsi="Arial" w:cs="Arial"/>
        </w:rPr>
        <w:t xml:space="preserve">s. During the last three years, same-store sales at our supermarkets grew by 5.5%, 5.6% and 1.3%, in 2011, 2010 and 2009, respectively. </w:t>
      </w:r>
    </w:p>
    <w:p w:rsidR="00000000" w:rsidRDefault="003E5AFF">
      <w:pPr>
        <w:pStyle w:val="NormalWeb"/>
        <w:spacing w:before="120" w:beforeAutospacing="0" w:after="0" w:afterAutospacing="0"/>
      </w:pPr>
      <w:r>
        <w:rPr>
          <w:rFonts w:ascii="Arial" w:hAnsi="Arial" w:cs="Arial"/>
        </w:rPr>
        <w:t>In recent years, the Chilean supermarket industry has been characterized by the construction of larger stores (includin</w:t>
      </w:r>
      <w:r>
        <w:rPr>
          <w:rFonts w:ascii="Arial" w:hAnsi="Arial" w:cs="Arial"/>
        </w:rPr>
        <w:t>g more hypermarkets), both on a free-standing basis and within shopping centers and other commercial developments, and consolidation of ownership in fewer, larger supermarket chains. Current trends in the industry include increased differentiation among co</w:t>
      </w:r>
      <w:r>
        <w:rPr>
          <w:rFonts w:ascii="Arial" w:hAnsi="Arial" w:cs="Arial"/>
        </w:rPr>
        <w:t xml:space="preserve">mpetitors, with some supermarket chains emphasizing a low price/low service strategy, while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- 155 - </w:t>
      </w:r>
    </w:p>
    <w:p w:rsidR="00000000" w:rsidRDefault="003E5AFF">
      <w:pPr>
        <w:rPr>
          <w:rFonts w:eastAsia="Times New Roman" w:cs="Times New Roman"/>
        </w:rPr>
      </w:pPr>
      <w:r>
        <w:rPr>
          <w:rFonts w:eastAsia="Times New Roman" w:cs="Times New Roman"/>
        </w:rPr>
        <w:pict>
          <v:rect id="_x0000_i1189" style="width:441.9pt;height:3pt" o:hralign="center" o:hrstd="t" o:hrnoshade="t" o:hr="t" fillcolor="#999" stroked="f"/>
        </w:pict>
      </w:r>
    </w:p>
    <w:p w:rsidR="00000000" w:rsidRDefault="003E5AFF">
      <w:pPr>
        <w:pStyle w:val="Heading5"/>
        <w:rPr>
          <w:rFonts w:eastAsia="Times New Roman" w:cs="Times New Roman"/>
        </w:rPr>
      </w:pPr>
      <w:hyperlink r:id="rId20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others have pursued a strategy of moderate or higher prices with higher levels of service. Other recent trends in the Chilean supermarket i</w:t>
      </w:r>
      <w:r>
        <w:rPr>
          <w:rFonts w:ascii="Arial" w:hAnsi="Arial" w:cs="Arial"/>
        </w:rPr>
        <w:t>ndustry have include the development of specialized internet sale channels by major players, increased funding of marketing costs by suppliers, expansion by chains outside the Santiago metropolitan region and to urban areas with lower purchasing power, the</w:t>
      </w:r>
      <w:r>
        <w:rPr>
          <w:rFonts w:ascii="Arial" w:hAnsi="Arial" w:cs="Arial"/>
        </w:rPr>
        <w:t xml:space="preserve"> growth of private label products, and increased demand for _natural_ products and prepared foods. </w:t>
      </w:r>
    </w:p>
    <w:p w:rsidR="00000000" w:rsidRDefault="003E5AFF">
      <w:pPr>
        <w:pStyle w:val="NormalWeb"/>
        <w:spacing w:before="120" w:beforeAutospacing="0" w:after="0" w:afterAutospacing="0"/>
      </w:pPr>
      <w:r>
        <w:rPr>
          <w:rFonts w:ascii="Arial" w:hAnsi="Arial" w:cs="Arial"/>
        </w:rPr>
        <w:t>As noted above, we believe that the Chilean supermarket industry shows certain signs of saturation, and as a result newly opened stores to some extent canni</w:t>
      </w:r>
      <w:r>
        <w:rPr>
          <w:rFonts w:ascii="Arial" w:hAnsi="Arial" w:cs="Arial"/>
        </w:rPr>
        <w:t>balize the sales of existing stores. As of December 31, 2011, we estimate that the three largest supermarket operators in Chile represented approximately 86.6% of the industry in terms of net revenues. Our growth prospects in the Chilean food retailing sec</w:t>
      </w:r>
      <w:r>
        <w:rPr>
          <w:rFonts w:ascii="Arial" w:hAnsi="Arial" w:cs="Arial"/>
        </w:rPr>
        <w:t xml:space="preserve">tor are likely to depend to a large extent on future growth in Chilean GDP or acquisitions of other supermarket chains, and we cannot assure you that either will in fact occur. </w:t>
      </w:r>
    </w:p>
    <w:p w:rsidR="00000000" w:rsidRDefault="003E5AFF">
      <w:pPr>
        <w:pStyle w:val="NormalWeb"/>
        <w:spacing w:before="120" w:beforeAutospacing="0" w:after="0" w:afterAutospacing="0"/>
      </w:pPr>
      <w:r>
        <w:rPr>
          <w:rFonts w:ascii="Arial" w:hAnsi="Arial" w:cs="Arial"/>
        </w:rPr>
        <w:t>Our competitors include hypermarkets, supermarkets, hard discount stores, self</w:t>
      </w:r>
      <w:r>
        <w:rPr>
          <w:rFonts w:ascii="Arial" w:hAnsi="Arial" w:cs="Arial"/>
        </w:rPr>
        <w:t>-service stores, traditional, family-owned neighborhood grocers and open markets. Although competition is already intense in many locations, we believe that competition is likely to intensify further as existing competitors expand the number of their store</w:t>
      </w:r>
      <w:r>
        <w:rPr>
          <w:rFonts w:ascii="Arial" w:hAnsi="Arial" w:cs="Arial"/>
        </w:rPr>
        <w:t xml:space="preserve">s and improve the quality of their operations and as new competitors enter the market. Competition is based on price, quality, variety, customer service and store location, with various competitors emphasizing these factors to varying degrees. </w:t>
      </w:r>
    </w:p>
    <w:p w:rsidR="00000000" w:rsidRDefault="003E5AFF">
      <w:pPr>
        <w:pStyle w:val="NormalWeb"/>
        <w:spacing w:before="120" w:beforeAutospacing="0" w:after="0" w:afterAutospacing="0"/>
      </w:pPr>
      <w:r>
        <w:rPr>
          <w:rFonts w:ascii="Arial" w:hAnsi="Arial" w:cs="Arial"/>
        </w:rPr>
        <w:t>The followi</w:t>
      </w:r>
      <w:r>
        <w:rPr>
          <w:rFonts w:ascii="Arial" w:hAnsi="Arial" w:cs="Arial"/>
        </w:rPr>
        <w:t xml:space="preserve">ng table presents certain information about us and our principal competitors in the Chilean supermarket industry as of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463"/>
        <w:gridCol w:w="176"/>
        <w:gridCol w:w="61"/>
        <w:gridCol w:w="784"/>
        <w:gridCol w:w="112"/>
        <w:gridCol w:w="234"/>
        <w:gridCol w:w="70"/>
        <w:gridCol w:w="897"/>
        <w:gridCol w:w="234"/>
        <w:gridCol w:w="176"/>
        <w:gridCol w:w="56"/>
        <w:gridCol w:w="723"/>
        <w:gridCol w:w="176"/>
        <w:gridCol w:w="176"/>
        <w:gridCol w:w="62"/>
        <w:gridCol w:w="794"/>
        <w:gridCol w:w="112"/>
      </w:tblGrid>
      <w:tr w:rsidR="00000000">
        <w:trPr>
          <w:jc w:val="center"/>
        </w:trPr>
        <w:tc>
          <w:tcPr>
            <w:tcW w:w="29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Wal-Mart</w:t>
            </w:r>
            <w:r>
              <w:rPr>
                <w:rFonts w:ascii="Arial" w:eastAsia="Times New Roman" w:hAnsi="Arial" w:cs="Arial"/>
                <w:b/>
                <w:bCs/>
              </w:rPr>
              <w:br/>
              <w:t>chil</w:t>
            </w:r>
            <w:r>
              <w:rPr>
                <w:rFonts w:ascii="Arial" w:eastAsia="Times New Roman" w:hAnsi="Arial" w:cs="Arial"/>
                <w:b/>
                <w:bCs/>
              </w:rPr>
              <w:t>e</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Cencosud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SMU</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Fallabela</w:t>
            </w:r>
            <w:r>
              <w:rPr>
                <w:rFonts w:ascii="Arial" w:eastAsia="Times New Roman" w:hAnsi="Arial" w:cs="Arial"/>
                <w:b/>
                <w:bCs/>
              </w:rPr>
              <w:br/>
              <w:t>(Tottus)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w:t>
            </w:r>
            <w:r>
              <w:rPr>
                <w:rFonts w:ascii="Arial" w:hAnsi="Arial" w:cs="Arial"/>
              </w:rPr>
              <w: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r>
              <w:rPr>
                <w:rFonts w:ascii="Arial" w:hAnsi="Arial" w:cs="Arial"/>
              </w:rPr>
              <w: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715,198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463,834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718,800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135,115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Market share(2)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60" w:beforeAutospacing="0" w:after="0" w:afterAutospacing="0"/>
      </w:pPr>
      <w:r>
        <w:rPr>
          <w:rFonts w:ascii="Arial" w:hAnsi="Arial" w:cs="Arial"/>
          <w:sz w:val="15"/>
          <w:szCs w:val="15"/>
        </w:rPr>
        <w:t xml:space="preserve">Source: Public filings, INE, ASACH.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Formerly known as D&amp;S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 of December 31, 2011, based on reported net revenues from supermarket operations in Chile. </w:t>
            </w:r>
          </w:p>
        </w:tc>
      </w:tr>
    </w:tbl>
    <w:p w:rsidR="00000000" w:rsidRDefault="003E5AFF">
      <w:pPr>
        <w:pStyle w:val="NormalWeb"/>
        <w:spacing w:before="120" w:beforeAutospacing="0" w:after="0" w:afterAutospacing="0"/>
      </w:pPr>
      <w:r>
        <w:rPr>
          <w:rFonts w:ascii="Arial" w:hAnsi="Arial" w:cs="Arial"/>
        </w:rPr>
        <w:t>We estimate that Wal-Mart Chile, formerly known as D&amp;S, is the largest supermarket chain in Chile in terms of net revenues and, at December 31, 2011, it operated</w:t>
      </w:r>
      <w:r>
        <w:rPr>
          <w:rFonts w:ascii="Arial" w:hAnsi="Arial" w:cs="Arial"/>
        </w:rPr>
        <w:t xml:space="preserve"> 318 stores in Chile. Wal-Mart Chile operates four different sizes of stores under different brands, allowing it to target different segments of the market offering a combination of every day low prices, service and proximity. In 2003, D&amp;S initiated a prom</w:t>
      </w:r>
      <w:r>
        <w:rPr>
          <w:rFonts w:ascii="Arial" w:hAnsi="Arial" w:cs="Arial"/>
        </w:rPr>
        <w:t>otional program of _everyday low prices_ which increased pressure on our operating margins. D&amp;S was acquired by Wal-Mart in January 2008, and due to its association with Wal-Mart, we believe it has greater leverage with its suppliers than us or its other c</w:t>
      </w:r>
      <w:r>
        <w:rPr>
          <w:rFonts w:ascii="Arial" w:hAnsi="Arial" w:cs="Arial"/>
        </w:rPr>
        <w:t xml:space="preserve">ompetitors. As a result, it is able to obtain more favorable purchasing terms than us. </w:t>
      </w:r>
    </w:p>
    <w:p w:rsidR="00000000" w:rsidRDefault="003E5AFF">
      <w:pPr>
        <w:pStyle w:val="NormalWeb"/>
        <w:spacing w:before="120" w:beforeAutospacing="0" w:after="0" w:afterAutospacing="0"/>
      </w:pPr>
      <w:r>
        <w:rPr>
          <w:rFonts w:ascii="Arial" w:hAnsi="Arial" w:cs="Arial"/>
        </w:rPr>
        <w:t>Recent efforts by Chilean retail holding company SMU S.A. (_SMU_) to consolidate over 50 regional food retailers in Chile into a single integrated rival threaten to inc</w:t>
      </w:r>
      <w:r>
        <w:rPr>
          <w:rFonts w:ascii="Arial" w:hAnsi="Arial" w:cs="Arial"/>
        </w:rPr>
        <w:t>rease competition in the Chilean supermarket industry. Additionally, in September 2011 SMU announced it had acquired rival Supermercados del Sur, which we estimate was the fourth-largest supermarket chain in Chile in terms of revenues at the time. These co</w:t>
      </w:r>
      <w:r>
        <w:rPr>
          <w:rFonts w:ascii="Arial" w:hAnsi="Arial" w:cs="Arial"/>
        </w:rPr>
        <w:t xml:space="preserve">nsolidation efforts have not yet had a material impact, but we perceive increased risk over the intermediate-to-longer term. We see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- 156 - </w:t>
      </w:r>
    </w:p>
    <w:p w:rsidR="00000000" w:rsidRDefault="003E5AFF">
      <w:pPr>
        <w:rPr>
          <w:rFonts w:eastAsia="Times New Roman" w:cs="Times New Roman"/>
        </w:rPr>
      </w:pPr>
      <w:r>
        <w:rPr>
          <w:rFonts w:eastAsia="Times New Roman" w:cs="Times New Roman"/>
        </w:rPr>
        <w:pict>
          <v:rect id="_x0000_i1190" style="width:441.9pt;height:3pt" o:hralign="center" o:hrstd="t" o:hrnoshade="t" o:hr="t" fillcolor="#999" stroked="f"/>
        </w:pict>
      </w:r>
    </w:p>
    <w:p w:rsidR="00000000" w:rsidRDefault="003E5AFF">
      <w:pPr>
        <w:pStyle w:val="Heading5"/>
        <w:rPr>
          <w:rFonts w:eastAsia="Times New Roman" w:cs="Times New Roman"/>
        </w:rPr>
      </w:pPr>
      <w:hyperlink r:id="rId20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similar consolidation efforts targeting smaller hardware stores and _do-it-yourself_ retailers in the home improvement industry, such as th</w:t>
      </w:r>
      <w:r>
        <w:rPr>
          <w:rFonts w:ascii="Arial" w:hAnsi="Arial" w:cs="Arial"/>
        </w:rPr>
        <w:t xml:space="preserve">e SMU_s acquisition of Contrumart, the third-largest retailer in the Chilean home improvement industry in terms of revenues in our estimation. We expect other regional rivals to emerge in the future. Peru_s second-largest supermarket retailer according to </w:t>
      </w:r>
      <w:r>
        <w:rPr>
          <w:rFonts w:ascii="Arial" w:hAnsi="Arial" w:cs="Arial"/>
        </w:rPr>
        <w:t>Apoyo y Asociados (_Apoyo_) is also expanding into markets historically dominated by Wong. In Brazil, improved offerings by Wal-Mart appear to be leveraging international procurement more effectively and are therefore able to compete more strongly in terms</w:t>
      </w:r>
      <w:r>
        <w:rPr>
          <w:rFonts w:ascii="Arial" w:hAnsi="Arial" w:cs="Arial"/>
        </w:rPr>
        <w:t xml:space="preserve"> of price. </w:t>
      </w:r>
    </w:p>
    <w:p w:rsidR="00000000" w:rsidRDefault="003E5AFF">
      <w:pPr>
        <w:pStyle w:val="NormalWeb"/>
        <w:spacing w:before="120" w:beforeAutospacing="0" w:after="0" w:afterAutospacing="0"/>
      </w:pPr>
      <w:r>
        <w:rPr>
          <w:rFonts w:ascii="Arial" w:hAnsi="Arial" w:cs="Arial"/>
        </w:rPr>
        <w:t>Moreover, on December 14, 2011, the Chilean antitrust authority (</w:t>
      </w:r>
      <w:r>
        <w:rPr>
          <w:rFonts w:ascii="Arial" w:hAnsi="Arial" w:cs="Arial"/>
          <w:i/>
          <w:iCs/>
        </w:rPr>
        <w:t>Fiscal_a Nacional Econ_mica</w:t>
      </w:r>
      <w:r>
        <w:rPr>
          <w:rFonts w:ascii="Arial" w:hAnsi="Arial" w:cs="Arial"/>
        </w:rPr>
        <w:t xml:space="preserve">, or _FNE_) announced an investigation into anti-competitive practices in the food retail industry. The investigation includes several local operators, </w:t>
      </w:r>
      <w:r>
        <w:rPr>
          <w:rFonts w:ascii="Arial" w:hAnsi="Arial" w:cs="Arial"/>
        </w:rPr>
        <w:t>including Cencosud, Wal-Mart Chile, SMU and Tottus. In accordance with Chilean regulations, FNE has not disclosed the details of the investigation to the public, but it appears to be focused on private label groceries, fresh poultry and beef. Without addit</w:t>
      </w:r>
      <w:r>
        <w:rPr>
          <w:rFonts w:ascii="Arial" w:hAnsi="Arial" w:cs="Arial"/>
        </w:rPr>
        <w:t xml:space="preserve">ional detail it is difficult to determine the full impact of this investigation. If the FNE concludes that we engaged in anti-competitive practices we could face a maximum sanction of up to U.S.$30 million. </w:t>
      </w:r>
    </w:p>
    <w:p w:rsidR="00000000" w:rsidRDefault="003E5AFF">
      <w:pPr>
        <w:pStyle w:val="NormalWeb"/>
        <w:spacing w:before="120" w:beforeAutospacing="0" w:after="0" w:afterAutospacing="0"/>
      </w:pPr>
      <w:r>
        <w:rPr>
          <w:rFonts w:ascii="Arial" w:hAnsi="Arial" w:cs="Arial"/>
        </w:rPr>
        <w:t>We generally perceive homogeneity in retail pric</w:t>
      </w:r>
      <w:r>
        <w:rPr>
          <w:rFonts w:ascii="Arial" w:hAnsi="Arial" w:cs="Arial"/>
        </w:rPr>
        <w:t xml:space="preserve">ing and terms. Chile_s vendor base is largely consolidated, and characterized by oligopoly and monopoly structures that have generally limited procurement power among retailers, despite their perceived scale advantages. </w:t>
      </w:r>
    </w:p>
    <w:p w:rsidR="00000000" w:rsidRDefault="003E5AFF">
      <w:pPr>
        <w:pStyle w:val="NormalWeb"/>
        <w:spacing w:before="240" w:beforeAutospacing="0" w:after="0" w:afterAutospacing="0"/>
      </w:pPr>
      <w:r>
        <w:rPr>
          <w:rFonts w:ascii="Arial" w:hAnsi="Arial" w:cs="Arial"/>
          <w:b/>
          <w:bCs/>
          <w:i/>
          <w:iCs/>
        </w:rPr>
        <w:t xml:space="preserve">Argentina </w:t>
      </w:r>
    </w:p>
    <w:p w:rsidR="00000000" w:rsidRDefault="003E5AFF">
      <w:pPr>
        <w:pStyle w:val="NormalWeb"/>
        <w:spacing w:before="120" w:beforeAutospacing="0" w:after="0" w:afterAutospacing="0"/>
      </w:pPr>
      <w:r>
        <w:rPr>
          <w:rFonts w:ascii="Arial" w:hAnsi="Arial" w:cs="Arial"/>
        </w:rPr>
        <w:t>Historically, the Argentine supermarket industry was dominated by traditional, family-owned neighborhood grocers (</w:t>
      </w:r>
      <w:r>
        <w:rPr>
          <w:rFonts w:ascii="Arial" w:hAnsi="Arial" w:cs="Arial"/>
          <w:i/>
          <w:iCs/>
        </w:rPr>
        <w:t>almacenes</w:t>
      </w:r>
      <w:r>
        <w:rPr>
          <w:rFonts w:ascii="Arial" w:hAnsi="Arial" w:cs="Arial"/>
        </w:rPr>
        <w:t>). In the 1980s, supermarkets began to proliferate and the first hypermarkets appeared, a trend that accelerated in the early 1990s w</w:t>
      </w:r>
      <w:r>
        <w:rPr>
          <w:rFonts w:ascii="Arial" w:hAnsi="Arial" w:cs="Arial"/>
        </w:rPr>
        <w:t>ith significant expansion of modern supermarket operations, including minimarkets, supermarkets and hypermarkets in urban areas. During the 1990s, consumer grocery purchases at almacenes declined. Since 1999, the level of market penetration has remained re</w:t>
      </w:r>
      <w:r>
        <w:rPr>
          <w:rFonts w:ascii="Arial" w:hAnsi="Arial" w:cs="Arial"/>
        </w:rPr>
        <w:t xml:space="preserve">latively stable. In 2011, consumer grocery purchases at supermarkets accounted for approximately 37.0% of total consumer grocery expenditures based on net sales according to INDEC. </w:t>
      </w:r>
    </w:p>
    <w:p w:rsidR="00000000" w:rsidRDefault="003E5AFF">
      <w:pPr>
        <w:pStyle w:val="NormalWeb"/>
        <w:spacing w:before="120" w:beforeAutospacing="0" w:after="0" w:afterAutospacing="0"/>
      </w:pPr>
      <w:r>
        <w:rPr>
          <w:rFonts w:ascii="Arial" w:hAnsi="Arial" w:cs="Arial"/>
        </w:rPr>
        <w:t>The Argentine supermarket industry is highly competitive and fragmented, a</w:t>
      </w:r>
      <w:r>
        <w:rPr>
          <w:rFonts w:ascii="Arial" w:hAnsi="Arial" w:cs="Arial"/>
        </w:rPr>
        <w:t>nd we estimate that the four largest supermarket chains in Argentina account for approximately 63.2% of total supermarket net sales as of December 31, 2011. In Argentina, where foreign food retailers have an established presence and we are a smaller compet</w:t>
      </w:r>
      <w:r>
        <w:rPr>
          <w:rFonts w:ascii="Arial" w:hAnsi="Arial" w:cs="Arial"/>
        </w:rPr>
        <w:t>itor, we face a very different competitive atmosphere than in Chile. We believe that some of these food retail companies have substantially greater financial resources than us. In addition, there is strong competition from small independent stores and indi</w:t>
      </w:r>
      <w:r>
        <w:rPr>
          <w:rFonts w:ascii="Arial" w:hAnsi="Arial" w:cs="Arial"/>
        </w:rPr>
        <w:t xml:space="preserve">vidual, non-chain stores that represent a significant and growing part of the food and grocery business in Argentina. </w:t>
      </w:r>
    </w:p>
    <w:p w:rsidR="00000000" w:rsidRDefault="003E5AFF">
      <w:pPr>
        <w:pStyle w:val="NormalWeb"/>
        <w:spacing w:before="120" w:beforeAutospacing="0" w:after="0" w:afterAutospacing="0"/>
      </w:pPr>
      <w:r>
        <w:rPr>
          <w:rFonts w:ascii="Arial" w:hAnsi="Arial" w:cs="Arial"/>
        </w:rPr>
        <w:t>For many years, large international retail chains, such as Wal-Mart, the largest U.S. retailer based on market capitalization, have opera</w:t>
      </w:r>
      <w:r>
        <w:rPr>
          <w:rFonts w:ascii="Arial" w:hAnsi="Arial" w:cs="Arial"/>
        </w:rPr>
        <w:t>ted in the Argentine market. When Wal-Mart entered the Argentine retail market in 1995, it implemented a strategy of low food prices that was aimed at capturing market share from large hypermarkets such as Carrefour. As a result, the rate of industry conso</w:t>
      </w:r>
      <w:r>
        <w:rPr>
          <w:rFonts w:ascii="Arial" w:hAnsi="Arial" w:cs="Arial"/>
        </w:rPr>
        <w:t>lidation increased substantially during recent years, as larger store formats have been increasing their market share at the expense and through the purchase of smaller store formats. Further, we believe that the Argentine supermarket sector continues to s</w:t>
      </w:r>
      <w:r>
        <w:rPr>
          <w:rFonts w:ascii="Arial" w:hAnsi="Arial" w:cs="Arial"/>
        </w:rPr>
        <w:t xml:space="preserve">uffer from excess square footage, and that it is reasonably likely that there will continue to be considerable competitive pressure on our operating margins for the foreseeable future.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- 157 - </w:t>
      </w:r>
    </w:p>
    <w:p w:rsidR="00000000" w:rsidRDefault="003E5AFF">
      <w:pPr>
        <w:rPr>
          <w:rFonts w:eastAsia="Times New Roman" w:cs="Times New Roman"/>
        </w:rPr>
      </w:pPr>
      <w:r>
        <w:rPr>
          <w:rFonts w:eastAsia="Times New Roman" w:cs="Times New Roman"/>
        </w:rPr>
        <w:pict>
          <v:rect id="_x0000_i1191" style="width:441.9pt;height:3pt" o:hralign="center" o:hrstd="t" o:hrnoshade="t" o:hr="t" fillcolor="#999" stroked="f"/>
        </w:pict>
      </w:r>
    </w:p>
    <w:p w:rsidR="00000000" w:rsidRDefault="003E5AFF">
      <w:pPr>
        <w:pStyle w:val="Heading5"/>
        <w:rPr>
          <w:rFonts w:eastAsia="Times New Roman" w:cs="Times New Roman"/>
        </w:rPr>
      </w:pPr>
      <w:hyperlink r:id="rId20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following table presents certain information about us and our principal competitors in Argentina as of December 31, 2011:</w:t>
      </w:r>
      <w:r>
        <w:rPr>
          <w:rFonts w:ascii="Arial" w:hAnsi="Arial" w:cs="Arial"/>
        </w:rPr>
        <w:t xml:space="preserve">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685"/>
        <w:gridCol w:w="175"/>
        <w:gridCol w:w="87"/>
        <w:gridCol w:w="880"/>
        <w:gridCol w:w="112"/>
        <w:gridCol w:w="176"/>
        <w:gridCol w:w="82"/>
        <w:gridCol w:w="830"/>
        <w:gridCol w:w="112"/>
        <w:gridCol w:w="176"/>
        <w:gridCol w:w="76"/>
        <w:gridCol w:w="769"/>
        <w:gridCol w:w="176"/>
        <w:gridCol w:w="234"/>
        <w:gridCol w:w="56"/>
        <w:gridCol w:w="568"/>
        <w:gridCol w:w="112"/>
      </w:tblGrid>
      <w:tr w:rsidR="00000000">
        <w:trPr>
          <w:jc w:val="center"/>
        </w:trPr>
        <w:tc>
          <w:tcPr>
            <w:tcW w:w="31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Cencosud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Carrefour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Wal-Mart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Coto</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Market share(1)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Public Filings, INDEC, Planet Retail.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 terms of sales. </w:t>
            </w:r>
          </w:p>
        </w:tc>
      </w:tr>
    </w:tbl>
    <w:p w:rsidR="00000000" w:rsidRDefault="003E5AFF">
      <w:pPr>
        <w:pStyle w:val="NormalWeb"/>
        <w:spacing w:before="120" w:beforeAutospacing="0" w:after="0" w:afterAutospacing="0"/>
      </w:pPr>
      <w:r>
        <w:rPr>
          <w:rFonts w:ascii="Arial" w:hAnsi="Arial" w:cs="Arial"/>
        </w:rPr>
        <w:t xml:space="preserve">Our principal competitor in Argentina is Carrefour. At December 31, 2011, Carrefour operated 269 stores. Part of Carrefour_s competitive advantage arises from its low prices and aggressive promotional campaigns around special seasonal events. </w:t>
      </w:r>
    </w:p>
    <w:p w:rsidR="00000000" w:rsidRDefault="003E5AFF">
      <w:pPr>
        <w:pStyle w:val="NormalWeb"/>
        <w:spacing w:before="120" w:beforeAutospacing="0" w:after="0" w:afterAutospacing="0"/>
      </w:pPr>
      <w:r>
        <w:rPr>
          <w:rFonts w:ascii="Arial" w:hAnsi="Arial" w:cs="Arial"/>
        </w:rPr>
        <w:t>We expect th</w:t>
      </w:r>
      <w:r>
        <w:rPr>
          <w:rFonts w:ascii="Arial" w:hAnsi="Arial" w:cs="Arial"/>
        </w:rPr>
        <w:t xml:space="preserve">is highly competitive environment to continue to exert pressure on our results of operations in this market. </w:t>
      </w:r>
    </w:p>
    <w:p w:rsidR="00000000" w:rsidRDefault="003E5AFF">
      <w:pPr>
        <w:pStyle w:val="NormalWeb"/>
        <w:spacing w:before="240" w:beforeAutospacing="0" w:after="0" w:afterAutospacing="0"/>
      </w:pPr>
      <w:r>
        <w:rPr>
          <w:rFonts w:ascii="Arial" w:hAnsi="Arial" w:cs="Arial"/>
          <w:b/>
          <w:bCs/>
          <w:i/>
          <w:iCs/>
        </w:rPr>
        <w:t xml:space="preserve">Brazil </w:t>
      </w:r>
    </w:p>
    <w:p w:rsidR="00000000" w:rsidRDefault="003E5AFF">
      <w:pPr>
        <w:pStyle w:val="NormalWeb"/>
        <w:spacing w:before="120" w:beforeAutospacing="0" w:after="0" w:afterAutospacing="0"/>
      </w:pPr>
      <w:r>
        <w:rPr>
          <w:rFonts w:ascii="Arial" w:hAnsi="Arial" w:cs="Arial"/>
        </w:rPr>
        <w:t>The Brazilian supermarket industry represented approximately 5.5% of Brazil_s GDP (gross domestic product) in 2011, as reported by IBGE. A</w:t>
      </w:r>
      <w:r>
        <w:rPr>
          <w:rFonts w:ascii="Arial" w:hAnsi="Arial" w:cs="Arial"/>
        </w:rPr>
        <w:t xml:space="preserve">ccording to ABRAS, the food retail industry in Brazil had gross revenues of R$201.6 billion in 2010, compared to R$177.0 billion in 2009, representing a 7.5% increase. </w:t>
      </w:r>
    </w:p>
    <w:p w:rsidR="00000000" w:rsidRDefault="003E5AFF">
      <w:pPr>
        <w:pStyle w:val="NormalWeb"/>
        <w:spacing w:before="120" w:beforeAutospacing="0" w:after="0" w:afterAutospacing="0"/>
      </w:pPr>
      <w:r>
        <w:rPr>
          <w:rFonts w:ascii="Arial" w:hAnsi="Arial" w:cs="Arial"/>
        </w:rPr>
        <w:t>The Brazilian food retail industry is highly fragmented. Despite consolidation within the Brazilian food retail industry, according to ABRAS, in 2010, the fifty largest supermarket chains represented only approximately 64.0% of the food retail industry. In</w:t>
      </w:r>
      <w:r>
        <w:rPr>
          <w:rFonts w:ascii="Arial" w:hAnsi="Arial" w:cs="Arial"/>
        </w:rPr>
        <w:t xml:space="preserve"> 2011, we estimate that our stores accounted for approximately 1.7% of total net sales of the supermarket industry in Brazil and, according to ABRAS, 7.7% of the gross sales of the entire Brazilian food retail industry. We believe that future acquisitions </w:t>
      </w:r>
      <w:r>
        <w:rPr>
          <w:rFonts w:ascii="Arial" w:hAnsi="Arial" w:cs="Arial"/>
        </w:rPr>
        <w:t xml:space="preserve">will mainly involve smaller-sized stores. Another trend in the retail food industry is large chains migrating to smaller local, such as Tesco Express and Sainsbury_s Local. </w:t>
      </w:r>
    </w:p>
    <w:p w:rsidR="00000000" w:rsidRDefault="003E5AFF">
      <w:pPr>
        <w:pStyle w:val="NormalWeb"/>
        <w:spacing w:before="120" w:beforeAutospacing="0" w:after="0" w:afterAutospacing="0"/>
      </w:pPr>
      <w:r>
        <w:rPr>
          <w:rFonts w:ascii="Arial" w:hAnsi="Arial" w:cs="Arial"/>
        </w:rPr>
        <w:t>We believe the cash and carry segment (</w:t>
      </w:r>
      <w:r>
        <w:rPr>
          <w:rFonts w:ascii="Arial" w:hAnsi="Arial" w:cs="Arial"/>
          <w:i/>
          <w:iCs/>
        </w:rPr>
        <w:t>atacarejo</w:t>
      </w:r>
      <w:r>
        <w:rPr>
          <w:rFonts w:ascii="Arial" w:hAnsi="Arial" w:cs="Arial"/>
        </w:rPr>
        <w:t>), a wholesale segment in the reta</w:t>
      </w:r>
      <w:r>
        <w:rPr>
          <w:rFonts w:ascii="Arial" w:hAnsi="Arial" w:cs="Arial"/>
        </w:rPr>
        <w:t xml:space="preserve">il food industry is one of the fastest growing market segments in Brazil in terms of new store openings. This segment was created in order to serve customers within a market niche that was neither reached by self-service retail nor by wholesale.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- 158 -</w:t>
      </w:r>
      <w:r>
        <w:rPr>
          <w:rFonts w:ascii="Arial" w:hAnsi="Arial" w:cs="Arial"/>
        </w:rPr>
        <w:t xml:space="preserve"> </w:t>
      </w:r>
    </w:p>
    <w:p w:rsidR="00000000" w:rsidRDefault="003E5AFF">
      <w:pPr>
        <w:rPr>
          <w:rFonts w:eastAsia="Times New Roman" w:cs="Times New Roman"/>
        </w:rPr>
      </w:pPr>
      <w:r>
        <w:rPr>
          <w:rFonts w:eastAsia="Times New Roman" w:cs="Times New Roman"/>
        </w:rPr>
        <w:pict>
          <v:rect id="_x0000_i1192" style="width:441.9pt;height:3pt" o:hralign="center" o:hrstd="t" o:hrnoshade="t" o:hr="t" fillcolor="#999" stroked="f"/>
        </w:pict>
      </w:r>
    </w:p>
    <w:p w:rsidR="00000000" w:rsidRDefault="003E5AFF">
      <w:pPr>
        <w:pStyle w:val="Heading5"/>
        <w:rPr>
          <w:rFonts w:eastAsia="Times New Roman" w:cs="Times New Roman"/>
        </w:rPr>
      </w:pPr>
      <w:hyperlink r:id="rId20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As set forth in the followi</w:t>
      </w:r>
      <w:r>
        <w:rPr>
          <w:rFonts w:ascii="Arial" w:hAnsi="Arial" w:cs="Arial"/>
        </w:rPr>
        <w:t xml:space="preserve">ng table, according to ABRAS data, in 2011, the ten largest retailers recorded revenues of approximately R$103.3 billion, conducting business in approximately 3,143 stores: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779"/>
        <w:gridCol w:w="38"/>
        <w:gridCol w:w="59"/>
        <w:gridCol w:w="758"/>
        <w:gridCol w:w="112"/>
        <w:gridCol w:w="38"/>
        <w:gridCol w:w="56"/>
        <w:gridCol w:w="568"/>
        <w:gridCol w:w="234"/>
        <w:gridCol w:w="38"/>
        <w:gridCol w:w="84"/>
        <w:gridCol w:w="916"/>
        <w:gridCol w:w="112"/>
        <w:gridCol w:w="38"/>
        <w:gridCol w:w="76"/>
        <w:gridCol w:w="1203"/>
        <w:gridCol w:w="112"/>
        <w:gridCol w:w="38"/>
        <w:gridCol w:w="101"/>
        <w:gridCol w:w="899"/>
        <w:gridCol w:w="112"/>
        <w:gridCol w:w="38"/>
        <w:gridCol w:w="76"/>
        <w:gridCol w:w="981"/>
        <w:gridCol w:w="112"/>
      </w:tblGrid>
      <w:tr w:rsidR="00000000">
        <w:trPr>
          <w:jc w:val="center"/>
        </w:trPr>
        <w:tc>
          <w:tcPr>
            <w:tcW w:w="22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vMerge w:val="restart"/>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Company</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Gross revenues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val="restart"/>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Number of</w:t>
            </w:r>
            <w:r>
              <w:rPr>
                <w:rFonts w:ascii="Arial" w:eastAsia="Times New Roman" w:hAnsi="Arial" w:cs="Arial"/>
                <w:b/>
                <w:bCs/>
              </w:rPr>
              <w:br/>
              <w:t>checkouts</w:t>
            </w:r>
          </w:p>
        </w:tc>
        <w:tc>
          <w:tcPr>
            <w:tcW w:w="0" w:type="auto"/>
            <w:vMerge w:val="restart"/>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val="restart"/>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Space</w:t>
            </w:r>
            <w:r>
              <w:rPr>
                <w:rFonts w:ascii="Arial" w:eastAsia="Times New Roman" w:hAnsi="Arial" w:cs="Arial"/>
                <w:b/>
                <w:bCs/>
              </w:rPr>
              <w:br/>
              <w:t>available for</w:t>
            </w:r>
            <w:r>
              <w:rPr>
                <w:rFonts w:ascii="Arial" w:eastAsia="Times New Roman" w:hAnsi="Arial" w:cs="Arial"/>
                <w:b/>
                <w:bCs/>
              </w:rPr>
              <w:br/>
              <w:t>sales (square</w:t>
            </w:r>
            <w:r>
              <w:rPr>
                <w:rFonts w:ascii="Arial" w:eastAsia="Times New Roman" w:hAnsi="Arial" w:cs="Arial"/>
                <w:b/>
                <w:bCs/>
              </w:rPr>
              <w:br/>
              <w:t>meters)</w:t>
            </w:r>
          </w:p>
        </w:tc>
        <w:tc>
          <w:tcPr>
            <w:tcW w:w="0" w:type="auto"/>
            <w:vMerge w:val="restart"/>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val="restart"/>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Number of</w:t>
            </w:r>
            <w:r>
              <w:rPr>
                <w:rFonts w:ascii="Arial" w:eastAsia="Times New Roman" w:hAnsi="Arial" w:cs="Arial"/>
                <w:b/>
                <w:bCs/>
              </w:rPr>
              <w:br/>
              <w:t>stores</w:t>
            </w:r>
          </w:p>
        </w:tc>
        <w:tc>
          <w:tcPr>
            <w:tcW w:w="0" w:type="auto"/>
            <w:vMerge w:val="restart"/>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val="restart"/>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Employees</w:t>
            </w:r>
          </w:p>
        </w:tc>
        <w:tc>
          <w:tcPr>
            <w:tcW w:w="0" w:type="auto"/>
            <w:vMerge w:val="restart"/>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Merge/>
            <w:tcBorders>
              <w:top w:val="single" w:sz="12" w:space="0" w:color="000000"/>
            </w:tcBorders>
            <w:vAlign w:val="center"/>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(R$ million)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tcBorders>
              <w:top w:val="single" w:sz="12" w:space="0" w:color="000000"/>
            </w:tcBorders>
            <w:vAlign w:val="center"/>
            <w:hideMark/>
          </w:tcPr>
          <w:p w:rsidR="00000000" w:rsidRDefault="003E5AFF">
            <w:pPr>
              <w:rPr>
                <w:rFonts w:eastAsia="Times New Roman" w:cs="Times New Roman"/>
              </w:rPr>
            </w:pPr>
          </w:p>
        </w:tc>
        <w:tc>
          <w:tcPr>
            <w:tcW w:w="0" w:type="auto"/>
            <w:vMerge/>
            <w:tcBorders>
              <w:top w:val="single" w:sz="12" w:space="0" w:color="000000"/>
            </w:tcBorders>
            <w:vAlign w:val="center"/>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tcBorders>
              <w:top w:val="single" w:sz="12" w:space="0" w:color="000000"/>
            </w:tcBorders>
            <w:vAlign w:val="center"/>
            <w:hideMark/>
          </w:tcPr>
          <w:p w:rsidR="00000000" w:rsidRDefault="003E5AFF">
            <w:pPr>
              <w:rPr>
                <w:rFonts w:eastAsia="Times New Roman" w:cs="Times New Roman"/>
              </w:rPr>
            </w:pPr>
          </w:p>
        </w:tc>
        <w:tc>
          <w:tcPr>
            <w:tcW w:w="0" w:type="auto"/>
            <w:vMerge/>
            <w:tcBorders>
              <w:top w:val="single" w:sz="12" w:space="0" w:color="000000"/>
            </w:tcBorders>
            <w:vAlign w:val="center"/>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tcBorders>
              <w:top w:val="single" w:sz="12" w:space="0" w:color="000000"/>
            </w:tcBorders>
            <w:vAlign w:val="center"/>
            <w:hideMark/>
          </w:tcPr>
          <w:p w:rsidR="00000000" w:rsidRDefault="003E5AFF">
            <w:pPr>
              <w:rPr>
                <w:rFonts w:eastAsia="Times New Roman" w:cs="Times New Roman"/>
              </w:rPr>
            </w:pPr>
          </w:p>
        </w:tc>
        <w:tc>
          <w:tcPr>
            <w:tcW w:w="0" w:type="auto"/>
            <w:vMerge/>
            <w:tcBorders>
              <w:top w:val="single" w:sz="12" w:space="0" w:color="000000"/>
            </w:tcBorders>
            <w:vAlign w:val="center"/>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tcBorders>
              <w:top w:val="single" w:sz="12" w:space="0" w:color="000000"/>
            </w:tcBorders>
            <w:vAlign w:val="center"/>
            <w:hideMark/>
          </w:tcPr>
          <w:p w:rsidR="00000000" w:rsidRDefault="003E5AFF">
            <w:pPr>
              <w:rPr>
                <w:rFonts w:eastAsia="Times New Roman" w:cs="Times New Roman"/>
              </w:rPr>
            </w:pPr>
          </w:p>
        </w:tc>
        <w:tc>
          <w:tcPr>
            <w:tcW w:w="0" w:type="auto"/>
            <w:vMerge/>
            <w:tcBorders>
              <w:top w:val="single" w:sz="12" w:space="0" w:color="000000"/>
            </w:tcBorders>
            <w:vAlign w:val="center"/>
            <w:hideMark/>
          </w:tcPr>
          <w:p w:rsidR="00000000" w:rsidRDefault="003E5AFF">
            <w:pPr>
              <w:rPr>
                <w:rFonts w:eastAsia="Times New Roman" w:cs="Times New Roman"/>
              </w:rPr>
            </w:pP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Companhia Brasileira de Distribui?_o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36,144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15,007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2,811,103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1,647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144,914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Carrefour Com_rcio e Ind_stria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1,509,186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78,057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Wal-Mart Brasil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22,334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1,390,943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86,992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GBarbosa Comercial*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172,110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Cia. Zaffari Com_rcio e Ind_stria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126,938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9,060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b/>
                <w:bCs/>
              </w:rPr>
              <w:t>Total</w:t>
            </w:r>
            <w:r>
              <w:rPr>
                <w:rFonts w:ascii="Arial" w:hAnsi="Arial" w:cs="Arial"/>
              </w:rPr>
              <w:t>_five largest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93,470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34,347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6,010,280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332,023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Prezunic Comercial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68,919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DMA_Distribuidora S.A._EPA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124,605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Irm_os Bretas Filhos e Cia.*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91,163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 Angeloni &amp; Cia.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82,317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COOP_Cooperativa de Consumo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100,381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b/>
                <w:bCs/>
              </w:rPr>
              <w:t>Total</w:t>
            </w:r>
            <w:r>
              <w:rPr>
                <w:rFonts w:ascii="Arial" w:hAnsi="Arial" w:cs="Arial"/>
              </w:rPr>
              <w:t>_ten largest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103,317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38,014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6,477,665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369,098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ABRAS.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66"/>
        <w:gridCol w:w="83"/>
        <w:gridCol w:w="8057"/>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Denotes companies owned and controlled by us, as of January 2012. </w:t>
            </w:r>
          </w:p>
        </w:tc>
      </w:tr>
    </w:tbl>
    <w:p w:rsidR="00000000" w:rsidRDefault="003E5AFF">
      <w:pPr>
        <w:pStyle w:val="NormalWeb"/>
        <w:spacing w:before="120" w:beforeAutospacing="0" w:after="0" w:afterAutospacing="0"/>
      </w:pPr>
      <w:r>
        <w:rPr>
          <w:rFonts w:ascii="Arial" w:hAnsi="Arial" w:cs="Arial"/>
        </w:rPr>
        <w:t xml:space="preserve">The following table sets forth key statistics from the Brazilian retail food market by geographic region in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825"/>
        <w:gridCol w:w="185"/>
        <w:gridCol w:w="78"/>
        <w:gridCol w:w="991"/>
        <w:gridCol w:w="113"/>
        <w:gridCol w:w="184"/>
        <w:gridCol w:w="56"/>
        <w:gridCol w:w="679"/>
        <w:gridCol w:w="112"/>
        <w:gridCol w:w="184"/>
        <w:gridCol w:w="76"/>
        <w:gridCol w:w="680"/>
        <w:gridCol w:w="112"/>
        <w:gridCol w:w="184"/>
        <w:gridCol w:w="56"/>
        <w:gridCol w:w="679"/>
        <w:gridCol w:w="112"/>
      </w:tblGrid>
      <w:tr w:rsidR="00000000">
        <w:trPr>
          <w:jc w:val="center"/>
        </w:trPr>
        <w:tc>
          <w:tcPr>
            <w:tcW w:w="31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Gross revenues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Stores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Region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R$ millions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Number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Southeast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81,293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South</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29,027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North/Northeast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29,691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Middle West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10,374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vAlign w:val="bottom"/>
            <w:hideMark/>
          </w:tcPr>
          <w:p w:rsidR="00000000" w:rsidRDefault="003E5AFF">
            <w:pPr>
              <w:rPr>
                <w:rFonts w:eastAsia="Times New Roman" w:cs="Times New Roman"/>
                <w:sz w:val="2"/>
                <w:szCs w:val="2"/>
              </w:rPr>
            </w:pP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top w:val="single" w:sz="6" w:space="0" w:color="000000"/>
              </w:pBdr>
              <w:rPr>
                <w:sz w:val="2"/>
                <w:szCs w:val="2"/>
              </w:rPr>
            </w:pPr>
            <w:r>
              <w:rPr>
                <w:sz w:val="2"/>
                <w:szCs w:val="2"/>
              </w:rPr>
              <w:t> </w:t>
            </w:r>
          </w:p>
        </w:tc>
        <w:tc>
          <w:tcPr>
            <w:tcW w:w="0" w:type="auto"/>
            <w:gridSpan w:val="13"/>
            <w:vAlign w:val="bottom"/>
            <w:hideMark/>
          </w:tcPr>
          <w:p w:rsidR="00000000" w:rsidRDefault="003E5AFF">
            <w:pPr>
              <w:pStyle w:val="NormalWeb"/>
              <w:pBdr>
                <w:top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b/>
                <w:bCs/>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b/>
                <w:bCs/>
              </w:rPr>
              <w:t>150,385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b/>
                <w:bCs/>
              </w:rPr>
              <w:t>7,550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ABRAS. </w:t>
            </w:r>
          </w:p>
        </w:tc>
      </w:tr>
    </w:tbl>
    <w:p w:rsidR="00000000" w:rsidRDefault="003E5AFF">
      <w:pPr>
        <w:pStyle w:val="NormalWeb"/>
        <w:spacing w:before="120" w:beforeAutospacing="0" w:after="0" w:afterAutospacing="0"/>
      </w:pPr>
      <w:r>
        <w:rPr>
          <w:rFonts w:ascii="Arial" w:hAnsi="Arial" w:cs="Arial"/>
        </w:rPr>
        <w:t>Our main competitor in Brazil is Bompre_o, a company controlled by Wal-Mart. It ranks second in sales in Brazil, according to ABRAS. Bompre_o is the largest retailer in the Northeast of Brazil, where we believe we hold the number two position in terms of s</w:t>
      </w:r>
      <w:r>
        <w:rPr>
          <w:rFonts w:ascii="Arial" w:hAnsi="Arial" w:cs="Arial"/>
        </w:rPr>
        <w:t>ales, and is our competitor in the states of Sergipe, Bahia and Alagoas, with six, 54 and eight stores, respectively. We also compete against Companhia Brasileira de Distribui?_o, which operates three Extra stores in the city of Salvador, one Extra store i</w:t>
      </w:r>
      <w:r>
        <w:rPr>
          <w:rFonts w:ascii="Arial" w:hAnsi="Arial" w:cs="Arial"/>
        </w:rPr>
        <w:t>n the city of Aracaj_, and two Extra stores in city of Macei_. In Minas Gerais, we compete against DMA Distribuidora S/A (_DMA_), which operates 92 stores where we believe we hold the number one position in terms of sales. In Rio de Janeiro, where we belie</w:t>
      </w:r>
      <w:r>
        <w:rPr>
          <w:rFonts w:ascii="Arial" w:hAnsi="Arial" w:cs="Arial"/>
        </w:rPr>
        <w:t xml:space="preserve">ve we hold the number three position in terms of sales, we compete against Guanabara and Mundial, which operate 22 and 19 stores, respectively,. We also compete against open fairs and small- and medium-sized retailers that buy their products from informal </w:t>
      </w:r>
      <w:r>
        <w:rPr>
          <w:rFonts w:ascii="Arial" w:hAnsi="Arial" w:cs="Arial"/>
        </w:rPr>
        <w:t xml:space="preserve">distribution networks to obtain prices lower than the prices charged by our suppliers.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- 159 - </w:t>
      </w:r>
    </w:p>
    <w:p w:rsidR="00000000" w:rsidRDefault="003E5AFF">
      <w:pPr>
        <w:rPr>
          <w:rFonts w:eastAsia="Times New Roman" w:cs="Times New Roman"/>
        </w:rPr>
      </w:pPr>
      <w:r>
        <w:rPr>
          <w:rFonts w:eastAsia="Times New Roman" w:cs="Times New Roman"/>
        </w:rPr>
        <w:pict>
          <v:rect id="_x0000_i1193" style="width:441.9pt;height:3pt" o:hralign="center" o:hrstd="t" o:hrnoshade="t" o:hr="t" fillcolor="#999" stroked="f"/>
        </w:pict>
      </w:r>
    </w:p>
    <w:p w:rsidR="00000000" w:rsidRDefault="003E5AFF">
      <w:pPr>
        <w:pStyle w:val="Heading5"/>
        <w:rPr>
          <w:rFonts w:eastAsia="Times New Roman" w:cs="Times New Roman"/>
        </w:rPr>
      </w:pPr>
      <w:hyperlink r:id="rId21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Peru </w:t>
      </w:r>
    </w:p>
    <w:p w:rsidR="00000000" w:rsidRDefault="003E5AFF">
      <w:pPr>
        <w:pStyle w:val="NormalWeb"/>
        <w:spacing w:before="120" w:beforeAutospacing="0" w:after="0" w:afterAutospacing="0"/>
      </w:pPr>
      <w:r>
        <w:rPr>
          <w:rFonts w:ascii="Arial" w:hAnsi="Arial" w:cs="Arial"/>
        </w:rPr>
        <w:t>As of December 31, 2011, we estimate that the Peruvian supermarket industry was composed of approximately 176 stores nationwi</w:t>
      </w:r>
      <w:r>
        <w:rPr>
          <w:rFonts w:ascii="Arial" w:hAnsi="Arial" w:cs="Arial"/>
        </w:rPr>
        <w:t>de, including hypermarkets and supermarkets, with nearly 79.0% of the stores located in the Lima metropolitan area. In 2011, the estimated size of the Peruvian food industry was U.S.$18 billion per year, with 15.0% served by the three main supermarket play</w:t>
      </w:r>
      <w:r>
        <w:rPr>
          <w:rFonts w:ascii="Arial" w:hAnsi="Arial" w:cs="Arial"/>
        </w:rPr>
        <w:t xml:space="preserve">ers. However, the supermarket industry in Peru is becoming more attractive and competitive. According to CCR, in 2011, supermarket penetration for the Lima metropolitan area was approximately 30.0% resulting in a country average of 15.0%. </w:t>
      </w:r>
    </w:p>
    <w:p w:rsidR="00000000" w:rsidRDefault="003E5AFF">
      <w:pPr>
        <w:pStyle w:val="NormalWeb"/>
        <w:spacing w:before="120" w:beforeAutospacing="0" w:after="0" w:afterAutospacing="0"/>
      </w:pPr>
      <w:r>
        <w:rPr>
          <w:rFonts w:ascii="Arial" w:hAnsi="Arial" w:cs="Arial"/>
        </w:rPr>
        <w:t>A large percenta</w:t>
      </w:r>
      <w:r>
        <w:rPr>
          <w:rFonts w:ascii="Arial" w:hAnsi="Arial" w:cs="Arial"/>
        </w:rPr>
        <w:t>ge of consumption in Peru is still served by informal trade. Smaller grocery stores, convenience stores and open air markets play an important role in this industry with more than 85.0% of the market share according to CCR. The level of competition and the</w:t>
      </w:r>
      <w:r>
        <w:rPr>
          <w:rFonts w:ascii="Arial" w:hAnsi="Arial" w:cs="Arial"/>
        </w:rPr>
        <w:t xml:space="preserve"> identity of competitors have changed over the last four years. Between 2007 and 2011, supermarket total net sales in Peru grew at an average annual rate of approximately 15%, according to CCR. </w:t>
      </w:r>
    </w:p>
    <w:p w:rsidR="00000000" w:rsidRDefault="003E5AFF">
      <w:pPr>
        <w:pStyle w:val="NormalWeb"/>
        <w:spacing w:before="120" w:beforeAutospacing="0" w:after="0" w:afterAutospacing="0"/>
      </w:pPr>
      <w:r>
        <w:rPr>
          <w:rFonts w:ascii="Arial" w:hAnsi="Arial" w:cs="Arial"/>
        </w:rPr>
        <w:t>The following table presents certain information about us and</w:t>
      </w:r>
      <w:r>
        <w:rPr>
          <w:rFonts w:ascii="Arial" w:hAnsi="Arial" w:cs="Arial"/>
        </w:rPr>
        <w:t xml:space="preserve"> our principal competitors in Peru as of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931"/>
        <w:gridCol w:w="235"/>
        <w:gridCol w:w="71"/>
        <w:gridCol w:w="897"/>
        <w:gridCol w:w="112"/>
        <w:gridCol w:w="234"/>
        <w:gridCol w:w="109"/>
        <w:gridCol w:w="1403"/>
        <w:gridCol w:w="112"/>
        <w:gridCol w:w="234"/>
        <w:gridCol w:w="62"/>
        <w:gridCol w:w="794"/>
        <w:gridCol w:w="112"/>
      </w:tblGrid>
      <w:tr w:rsidR="00000000">
        <w:trPr>
          <w:jc w:val="center"/>
        </w:trPr>
        <w:tc>
          <w:tcPr>
            <w:tcW w:w="335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Cencosud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Supermercados</w:t>
            </w:r>
            <w:r>
              <w:rPr>
                <w:rFonts w:ascii="Arial" w:eastAsia="Times New Roman" w:hAnsi="Arial" w:cs="Arial"/>
                <w:b/>
                <w:bCs/>
              </w:rPr>
              <w:br/>
              <w:t>peruanos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Falabella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233,331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194,042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116,158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Market share(1)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Public filings.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As of December 31, 2011, based on reported net revenues from supermarket operations in Peru; market share estimates based solely on reported sales from the three major </w:t>
            </w:r>
            <w:r>
              <w:rPr>
                <w:rFonts w:ascii="Arial" w:eastAsia="Times New Roman" w:hAnsi="Arial" w:cs="Arial"/>
                <w:sz w:val="15"/>
                <w:szCs w:val="15"/>
              </w:rPr>
              <w:t xml:space="preserve">operators, and does not take into account the market participation of other smaller participants. </w:t>
            </w:r>
          </w:p>
        </w:tc>
      </w:tr>
    </w:tbl>
    <w:p w:rsidR="00000000" w:rsidRDefault="003E5AFF">
      <w:pPr>
        <w:pStyle w:val="NormalWeb"/>
        <w:spacing w:before="120" w:beforeAutospacing="0" w:after="0" w:afterAutospacing="0"/>
      </w:pPr>
      <w:r>
        <w:rPr>
          <w:rFonts w:ascii="Arial" w:hAnsi="Arial" w:cs="Arial"/>
        </w:rPr>
        <w:t xml:space="preserve">For the year ended December 31, 2011, we believe we were the largest operator of supermarkets in Peru in terms of net sales based on our comparisons against </w:t>
      </w:r>
      <w:r>
        <w:rPr>
          <w:rFonts w:ascii="Arial" w:hAnsi="Arial" w:cs="Arial"/>
        </w:rPr>
        <w:t>information from public filings of our main competitors as of December 31, 2011. Our principal competitors in the hypermarket format are Supermercados Peruanos, controlled by the Rodriguez Pastor family, who also control the Peruvian financial group Interg</w:t>
      </w:r>
      <w:r>
        <w:rPr>
          <w:rFonts w:ascii="Arial" w:hAnsi="Arial" w:cs="Arial"/>
        </w:rPr>
        <w:t xml:space="preserve">roup, and Tottus, controlled by Falabella. </w:t>
      </w:r>
    </w:p>
    <w:p w:rsidR="00000000" w:rsidRDefault="003E5AFF">
      <w:pPr>
        <w:pStyle w:val="NormalWeb"/>
        <w:spacing w:before="240" w:beforeAutospacing="0" w:after="0" w:afterAutospacing="0"/>
      </w:pPr>
      <w:r>
        <w:rPr>
          <w:rFonts w:ascii="Arial" w:hAnsi="Arial" w:cs="Arial"/>
          <w:b/>
          <w:bCs/>
          <w:sz w:val="24"/>
          <w:szCs w:val="24"/>
        </w:rPr>
        <w:t xml:space="preserve">The home improvement industry </w:t>
      </w:r>
    </w:p>
    <w:p w:rsidR="00000000" w:rsidRDefault="003E5AFF">
      <w:pPr>
        <w:pStyle w:val="NormalWeb"/>
        <w:spacing w:before="120" w:beforeAutospacing="0" w:after="0" w:afterAutospacing="0"/>
      </w:pP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rPr>
        <w:t>We believe the Chilean home improvement industry is the most developed in Latin America with nearly 50 thousand households per big-box store in 2011, as compared to 430 thous</w:t>
      </w:r>
      <w:r>
        <w:rPr>
          <w:rFonts w:ascii="Arial" w:hAnsi="Arial" w:cs="Arial"/>
        </w:rPr>
        <w:t>and in Peru, 200 thousand in Argentina or 440 thousand in Colombia. Nevertheless, the U.S.$10.8 billion size industry is still highly fragmented among big-box operators and several hardware stores (some of which have teamed up in associations such as MTS a</w:t>
      </w:r>
      <w:r>
        <w:rPr>
          <w:rFonts w:ascii="Arial" w:hAnsi="Arial" w:cs="Arial"/>
        </w:rPr>
        <w:t xml:space="preserve">nd Chilemat), according to our estimates. Growth of the industry_s main players has been based on expansion of Chile_s construction and housing industries, as well as sector consolidation. </w:t>
      </w:r>
    </w:p>
    <w:p w:rsidR="00000000" w:rsidRDefault="003E5AFF">
      <w:pPr>
        <w:pStyle w:val="NormalWeb"/>
        <w:spacing w:before="120" w:beforeAutospacing="0" w:after="0" w:afterAutospacing="0"/>
      </w:pPr>
      <w:r>
        <w:rPr>
          <w:rFonts w:ascii="Arial" w:hAnsi="Arial" w:cs="Arial"/>
        </w:rPr>
        <w:t>The Chilean home improvement industry is highly competitive and ha</w:t>
      </w:r>
      <w:r>
        <w:rPr>
          <w:rFonts w:ascii="Arial" w:hAnsi="Arial" w:cs="Arial"/>
        </w:rPr>
        <w:t>s recently been subject to increased consolidation. In 1998, Home Depot entered the Chilean market and was subsequently acquired by Falabella, through its Home Store subsidiary in 2001. In November 2002, we purchased the Chilean home improvement stores and</w:t>
      </w:r>
      <w:r>
        <w:rPr>
          <w:rFonts w:ascii="Arial" w:hAnsi="Arial" w:cs="Arial"/>
        </w:rPr>
        <w:t xml:space="preserve"> agricultural product chain, Proterra. In January 2011, the Chilean retail holding company SMU acquired the entire share capital of the hardware store chain Construmart, operating 23 stores under the brand Construmart with an average size of 2,500 square m</w:t>
      </w:r>
      <w:r>
        <w:rPr>
          <w:rFonts w:ascii="Arial" w:hAnsi="Arial" w:cs="Arial"/>
        </w:rPr>
        <w:t xml:space="preserve">eters per.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- 160 - </w:t>
      </w:r>
    </w:p>
    <w:p w:rsidR="00000000" w:rsidRDefault="003E5AFF">
      <w:pPr>
        <w:rPr>
          <w:rFonts w:eastAsia="Times New Roman" w:cs="Times New Roman"/>
        </w:rPr>
      </w:pPr>
      <w:r>
        <w:rPr>
          <w:rFonts w:eastAsia="Times New Roman" w:cs="Times New Roman"/>
        </w:rPr>
        <w:pict>
          <v:rect id="_x0000_i1194" style="width:441.9pt;height:3pt" o:hralign="center" o:hrstd="t" o:hrnoshade="t" o:hr="t" fillcolor="#999" stroked="f"/>
        </w:pict>
      </w:r>
    </w:p>
    <w:p w:rsidR="00000000" w:rsidRDefault="003E5AFF">
      <w:pPr>
        <w:pStyle w:val="Heading5"/>
        <w:rPr>
          <w:rFonts w:eastAsia="Times New Roman" w:cs="Times New Roman"/>
        </w:rPr>
      </w:pPr>
      <w:hyperlink r:id="rId21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home improvement industry caters to home improvement, repairs and maintenance, and new construction. Customers in this sector include h</w:t>
      </w:r>
      <w:r>
        <w:rPr>
          <w:rFonts w:ascii="Arial" w:hAnsi="Arial" w:cs="Arial"/>
        </w:rPr>
        <w:t xml:space="preserve">omeowners, small contractors and large construction companies seeking building materials for new projects. The sector is characterized by high price sensitivity and demand for high levels of product variety. </w:t>
      </w:r>
    </w:p>
    <w:p w:rsidR="00000000" w:rsidRDefault="003E5AFF">
      <w:pPr>
        <w:pStyle w:val="NormalWeb"/>
        <w:spacing w:before="120" w:beforeAutospacing="0" w:after="0" w:afterAutospacing="0"/>
      </w:pPr>
      <w:r>
        <w:rPr>
          <w:rFonts w:ascii="Arial" w:hAnsi="Arial" w:cs="Arial"/>
        </w:rPr>
        <w:t>The following table presents certain informatio</w:t>
      </w:r>
      <w:r>
        <w:rPr>
          <w:rFonts w:ascii="Arial" w:hAnsi="Arial" w:cs="Arial"/>
        </w:rPr>
        <w:t xml:space="preserve">n about us and our major competitors in Chile, as of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117"/>
        <w:gridCol w:w="243"/>
        <w:gridCol w:w="60"/>
        <w:gridCol w:w="774"/>
        <w:gridCol w:w="112"/>
        <w:gridCol w:w="243"/>
        <w:gridCol w:w="70"/>
        <w:gridCol w:w="897"/>
        <w:gridCol w:w="112"/>
        <w:gridCol w:w="243"/>
        <w:gridCol w:w="111"/>
        <w:gridCol w:w="1212"/>
        <w:gridCol w:w="112"/>
      </w:tblGrid>
      <w:tr w:rsidR="00000000">
        <w:trPr>
          <w:jc w:val="center"/>
        </w:trPr>
        <w:tc>
          <w:tcPr>
            <w:tcW w:w="340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Sodimac</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Cencosud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Construmar</w:t>
            </w:r>
            <w:r>
              <w:rPr>
                <w:rFonts w:ascii="Arial" w:eastAsia="Times New Roman" w:hAnsi="Arial" w:cs="Arial"/>
                <w:b/>
                <w:bCs/>
              </w:rPr>
              <w:t>t</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581,264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276,325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Internal estimates, Planet Retail.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Construmart and Ferrexperto Construmart stores. </w:t>
            </w:r>
          </w:p>
        </w:tc>
      </w:tr>
    </w:tbl>
    <w:p w:rsidR="00000000" w:rsidRDefault="003E5AFF">
      <w:pPr>
        <w:pStyle w:val="NormalWeb"/>
        <w:spacing w:before="120" w:beforeAutospacing="0" w:after="0" w:afterAutospacing="0"/>
      </w:pPr>
      <w:r>
        <w:rPr>
          <w:rFonts w:ascii="Arial" w:hAnsi="Arial" w:cs="Arial"/>
        </w:rPr>
        <w:t>For the year ended December </w:t>
      </w:r>
      <w:r>
        <w:rPr>
          <w:rFonts w:ascii="Arial" w:hAnsi="Arial" w:cs="Arial"/>
        </w:rPr>
        <w:t>31, 2011, we estimate that we were the second-largest operator of home improvement stores in Chile in terms of net sales based on our comparison against publically filed information from our main competitors as of December 31, 2011. At December 31, 2011, S</w:t>
      </w:r>
      <w:r>
        <w:rPr>
          <w:rFonts w:ascii="Arial" w:hAnsi="Arial" w:cs="Arial"/>
        </w:rPr>
        <w:t>odimac operated 70 home improvement stores with a total of 581,264 square meters of selling space. Its competitive advantage arises from its multi-format structure, with its Sodimac Homecenter stores that are similar to our Easy home improvement stores, as</w:t>
      </w:r>
      <w:r>
        <w:rPr>
          <w:rFonts w:ascii="Arial" w:hAnsi="Arial" w:cs="Arial"/>
        </w:rPr>
        <w:t xml:space="preserve"> well as its Sodimac Constructor stores that cater to professional builders and its Sodimac Empresas warehouses that facilitate efficient delivery of construction materials in Antofagasta, Vi_a del Mar, Santiago and Talcahuano primarily used for large cons</w:t>
      </w:r>
      <w:r>
        <w:rPr>
          <w:rFonts w:ascii="Arial" w:hAnsi="Arial" w:cs="Arial"/>
        </w:rPr>
        <w:t xml:space="preserve">truction companies. Sodimac also accepts Falabella_s widely-used store credit card CMR that has significant more penetration in the market than our M_s credit card. </w:t>
      </w:r>
    </w:p>
    <w:p w:rsidR="00000000" w:rsidRDefault="003E5AFF">
      <w:pPr>
        <w:pStyle w:val="NormalWeb"/>
        <w:spacing w:before="240" w:beforeAutospacing="0" w:after="0" w:afterAutospacing="0"/>
      </w:pPr>
      <w:r>
        <w:rPr>
          <w:rFonts w:ascii="Arial" w:hAnsi="Arial" w:cs="Arial"/>
          <w:b/>
          <w:bCs/>
          <w:i/>
          <w:iCs/>
        </w:rPr>
        <w:t xml:space="preserve">Argentina </w:t>
      </w:r>
    </w:p>
    <w:p w:rsidR="00000000" w:rsidRDefault="003E5AFF">
      <w:pPr>
        <w:pStyle w:val="NormalWeb"/>
        <w:spacing w:before="120" w:beforeAutospacing="0" w:after="0" w:afterAutospacing="0"/>
      </w:pPr>
      <w:r>
        <w:rPr>
          <w:rFonts w:ascii="Arial" w:hAnsi="Arial" w:cs="Arial"/>
        </w:rPr>
        <w:t>We believe the Argentine home improvement industry is composed of 75 home impro</w:t>
      </w:r>
      <w:r>
        <w:rPr>
          <w:rFonts w:ascii="Arial" w:hAnsi="Arial" w:cs="Arial"/>
        </w:rPr>
        <w:t>vements stores nationwide, of which we operated 48 as of December 31, 2011. The remaining stores are operated by Sodimac, Hiper Tehuelche and Barugel Azulay. There are also various small more specialized hardware and construction supply stores. Prior to 20</w:t>
      </w:r>
      <w:r>
        <w:rPr>
          <w:rFonts w:ascii="Arial" w:hAnsi="Arial" w:cs="Arial"/>
        </w:rPr>
        <w:t>02, we faced competition from Home Depot (Argentina) until our acquisition of its Argentine operations in February 2002. We face strong competition from other hardware stores and specialty stores dedicated to specific areas of construction and home improve</w:t>
      </w:r>
      <w:r>
        <w:rPr>
          <w:rFonts w:ascii="Arial" w:hAnsi="Arial" w:cs="Arial"/>
        </w:rPr>
        <w:t>ment. Until 2007, when Sodimac entered the market, we were the sole big-box home improvement chain in Argentina, with 17% market share, according to our estimates. We believe that the Argentinean home improvement market still offers plenty of room for cons</w:t>
      </w:r>
      <w:r>
        <w:rPr>
          <w:rFonts w:ascii="Arial" w:hAnsi="Arial" w:cs="Arial"/>
        </w:rPr>
        <w:t xml:space="preserve">olidation, leaving enough space for us to grow over the coming years. </w:t>
      </w:r>
    </w:p>
    <w:p w:rsidR="00000000" w:rsidRDefault="003E5AFF">
      <w:pPr>
        <w:pStyle w:val="NormalWeb"/>
        <w:spacing w:before="120" w:beforeAutospacing="0" w:after="0" w:afterAutospacing="0"/>
      </w:pPr>
      <w:r>
        <w:rPr>
          <w:rFonts w:ascii="Arial" w:hAnsi="Arial" w:cs="Arial"/>
        </w:rPr>
        <w:t xml:space="preserve">The following table presents certain information about us and Sodimac, our main competitor in Argentina, as of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5848"/>
        <w:gridCol w:w="217"/>
        <w:gridCol w:w="70"/>
        <w:gridCol w:w="897"/>
        <w:gridCol w:w="112"/>
        <w:gridCol w:w="216"/>
        <w:gridCol w:w="70"/>
        <w:gridCol w:w="764"/>
        <w:gridCol w:w="112"/>
      </w:tblGrid>
      <w:tr w:rsidR="00000000">
        <w:trPr>
          <w:jc w:val="center"/>
        </w:trPr>
        <w:tc>
          <w:tcPr>
            <w:tcW w:w="40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Cencosud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Sodimac</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391,485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65,185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Falabella_s public filings, internal estimates. </w:t>
            </w:r>
          </w:p>
        </w:tc>
      </w:tr>
    </w:tbl>
    <w:p w:rsidR="00000000" w:rsidRDefault="003E5AFF">
      <w:pPr>
        <w:pStyle w:val="NormalWeb"/>
        <w:spacing w:before="120" w:beforeAutospacing="0" w:after="0" w:afterAutospacing="0"/>
      </w:pPr>
      <w:r>
        <w:rPr>
          <w:rFonts w:ascii="Arial" w:hAnsi="Arial" w:cs="Arial"/>
        </w:rPr>
        <w:t>For the year ended December 31, 2011, we were the largest operator of home improvement stores in Argentina in terms of net sales, according to AC Nielsen. Our principal competitor in Argentina is also Sodima</w:t>
      </w:r>
      <w:r>
        <w:rPr>
          <w:rFonts w:ascii="Arial" w:hAnsi="Arial" w:cs="Arial"/>
        </w:rPr>
        <w:t xml:space="preserve">c, which operated 6 home improvement stores with a total of 65,185 square meters of selling space at December 31, 2011.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- 161 - </w:t>
      </w:r>
    </w:p>
    <w:p w:rsidR="00000000" w:rsidRDefault="003E5AFF">
      <w:pPr>
        <w:rPr>
          <w:rFonts w:eastAsia="Times New Roman" w:cs="Times New Roman"/>
        </w:rPr>
      </w:pPr>
      <w:r>
        <w:rPr>
          <w:rFonts w:eastAsia="Times New Roman" w:cs="Times New Roman"/>
        </w:rPr>
        <w:pict>
          <v:rect id="_x0000_i1195" style="width:441.9pt;height:3pt" o:hralign="center" o:hrstd="t" o:hrnoshade="t" o:hr="t" fillcolor="#999" stroked="f"/>
        </w:pict>
      </w:r>
    </w:p>
    <w:p w:rsidR="00000000" w:rsidRDefault="003E5AFF">
      <w:pPr>
        <w:pStyle w:val="Heading5"/>
        <w:rPr>
          <w:rFonts w:eastAsia="Times New Roman" w:cs="Times New Roman"/>
        </w:rPr>
      </w:pPr>
      <w:hyperlink r:id="rId21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Colombia </w:t>
      </w:r>
    </w:p>
    <w:p w:rsidR="00000000" w:rsidRDefault="003E5AFF">
      <w:pPr>
        <w:pStyle w:val="NormalWeb"/>
        <w:spacing w:before="120" w:beforeAutospacing="0" w:after="0" w:afterAutospacing="0"/>
      </w:pPr>
      <w:r>
        <w:rPr>
          <w:rFonts w:ascii="Arial" w:hAnsi="Arial" w:cs="Arial"/>
        </w:rPr>
        <w:t>We believe the Colombian home improvement industry is</w:t>
      </w:r>
      <w:r>
        <w:rPr>
          <w:rFonts w:ascii="Arial" w:hAnsi="Arial" w:cs="Arial"/>
        </w:rPr>
        <w:t xml:space="preserve"> the most underdeveloped in the countries where we compete. For the year ended December 31, 2011, there were 27 home improvement stores, each one serving 440,000 households. Hence, the industry is highly fragmented and composed of both general and speciali</w:t>
      </w:r>
      <w:r>
        <w:rPr>
          <w:rFonts w:ascii="Arial" w:hAnsi="Arial" w:cs="Arial"/>
        </w:rPr>
        <w:t xml:space="preserve">zed retailers. </w:t>
      </w:r>
    </w:p>
    <w:p w:rsidR="00000000" w:rsidRDefault="003E5AFF">
      <w:pPr>
        <w:pStyle w:val="NormalWeb"/>
        <w:spacing w:before="120" w:beforeAutospacing="0" w:after="0" w:afterAutospacing="0"/>
      </w:pPr>
      <w:r>
        <w:rPr>
          <w:rFonts w:ascii="Arial" w:hAnsi="Arial" w:cs="Arial"/>
        </w:rPr>
        <w:t>Our main competitor is Sodimac Home Center, which is a joint venture between Colombian Grupo Corona (51%) and Chilean Falabella (49%), competing in the home improvement market in Colombia since 1993. Total sales for Sodimac Home Center in 2</w:t>
      </w:r>
      <w:r>
        <w:rPr>
          <w:rFonts w:ascii="Arial" w:hAnsi="Arial" w:cs="Arial"/>
        </w:rPr>
        <w:t xml:space="preserve">011 were U.S.$1,011 million, according to their public filings. </w:t>
      </w:r>
    </w:p>
    <w:p w:rsidR="00000000" w:rsidRDefault="003E5AFF">
      <w:pPr>
        <w:pStyle w:val="NormalWeb"/>
        <w:spacing w:before="120" w:beforeAutospacing="0" w:after="0" w:afterAutospacing="0"/>
      </w:pPr>
      <w:r>
        <w:rPr>
          <w:rFonts w:ascii="Arial" w:hAnsi="Arial" w:cs="Arial"/>
        </w:rPr>
        <w:t xml:space="preserve">The following table presents certain information about us and Home Center, our main competitor in Colombia, as of December,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5196"/>
        <w:gridCol w:w="337"/>
        <w:gridCol w:w="89"/>
        <w:gridCol w:w="1156"/>
        <w:gridCol w:w="112"/>
        <w:gridCol w:w="337"/>
        <w:gridCol w:w="81"/>
        <w:gridCol w:w="886"/>
        <w:gridCol w:w="112"/>
      </w:tblGrid>
      <w:tr w:rsidR="00000000">
        <w:trPr>
          <w:jc w:val="center"/>
        </w:trPr>
        <w:tc>
          <w:tcPr>
            <w:tcW w:w="3850" w:type="pct"/>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Sodimac</w:t>
            </w:r>
            <w:r>
              <w:rPr>
                <w:rFonts w:ascii="Arial" w:eastAsia="Times New Roman" w:hAnsi="Arial" w:cs="Arial"/>
                <w:b/>
                <w:bCs/>
              </w:rPr>
              <w:br/>
              <w:t>Home Center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Cencosud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236,200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35,360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Falabella_s public filings, internal estimates. </w:t>
            </w:r>
          </w:p>
        </w:tc>
      </w:tr>
    </w:tbl>
    <w:p w:rsidR="00000000" w:rsidRDefault="003E5AFF">
      <w:pPr>
        <w:pStyle w:val="NormalWeb"/>
        <w:spacing w:before="240" w:beforeAutospacing="0" w:after="0" w:afterAutospacing="0"/>
      </w:pPr>
      <w:r>
        <w:rPr>
          <w:rFonts w:ascii="Arial" w:hAnsi="Arial" w:cs="Arial"/>
          <w:b/>
          <w:bCs/>
          <w:sz w:val="24"/>
          <w:szCs w:val="24"/>
        </w:rPr>
        <w:t xml:space="preserve">The Chilean department store industry </w:t>
      </w:r>
    </w:p>
    <w:p w:rsidR="00000000" w:rsidRDefault="003E5AFF">
      <w:pPr>
        <w:pStyle w:val="NormalWeb"/>
        <w:spacing w:before="120" w:beforeAutospacing="0" w:after="0" w:afterAutospacing="0"/>
      </w:pPr>
      <w:r>
        <w:rPr>
          <w:rFonts w:ascii="Arial" w:hAnsi="Arial" w:cs="Arial"/>
        </w:rPr>
        <w:t>The department store industry in Chile traces its origins to 1958, when Falabella opened its first department store in Chile. Since then, other companies have entered t</w:t>
      </w:r>
      <w:r>
        <w:rPr>
          <w:rFonts w:ascii="Arial" w:hAnsi="Arial" w:cs="Arial"/>
        </w:rPr>
        <w:t xml:space="preserve">he Chilean market and the industry has experienced intense consolidation, as larger operators acquired smaller stand-alone stores. We entered the department store business in March 2005, with our acquisition of Empresas Almacenes Paris S.A. </w:t>
      </w:r>
    </w:p>
    <w:p w:rsidR="00000000" w:rsidRDefault="003E5AFF">
      <w:pPr>
        <w:pStyle w:val="NormalWeb"/>
        <w:spacing w:before="120" w:beforeAutospacing="0" w:after="0" w:afterAutospacing="0"/>
      </w:pPr>
      <w:r>
        <w:rPr>
          <w:rFonts w:ascii="Arial" w:hAnsi="Arial" w:cs="Arial"/>
        </w:rPr>
        <w:t xml:space="preserve">Our principal </w:t>
      </w:r>
      <w:r>
        <w:rPr>
          <w:rFonts w:ascii="Arial" w:hAnsi="Arial" w:cs="Arial"/>
        </w:rPr>
        <w:t>competitor in Chile is Falabella, which is substantially larger than our subsidiary Almacenes Paris. The department store industry in Chile is very mature and highly competitive. We compete for customers with specialty retailers, traditional and high-end d</w:t>
      </w:r>
      <w:r>
        <w:rPr>
          <w:rFonts w:ascii="Arial" w:hAnsi="Arial" w:cs="Arial"/>
        </w:rPr>
        <w:t>epartment stores, national apparel chains, vendor-owned proprietary boutiques, individual specialty apparel stores and direct marketing firms. We compete for customers principally on the basis of quality and fashion, customer service, value, assortment and</w:t>
      </w:r>
      <w:r>
        <w:rPr>
          <w:rFonts w:ascii="Arial" w:hAnsi="Arial" w:cs="Arial"/>
        </w:rPr>
        <w:t xml:space="preserve"> presentation of merchandise, marketing and customer loyalty programs. Many of these competitors have greater financial resources than we do. </w:t>
      </w:r>
    </w:p>
    <w:p w:rsidR="00000000" w:rsidRDefault="003E5AFF">
      <w:pPr>
        <w:pStyle w:val="NormalWeb"/>
        <w:spacing w:before="120" w:beforeAutospacing="0" w:after="0" w:afterAutospacing="0"/>
      </w:pPr>
      <w:r>
        <w:rPr>
          <w:rFonts w:ascii="Arial" w:hAnsi="Arial" w:cs="Arial"/>
        </w:rPr>
        <w:t xml:space="preserve">The following table presents certain information about us and our main competitors as of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573"/>
        <w:gridCol w:w="117"/>
        <w:gridCol w:w="63"/>
        <w:gridCol w:w="794"/>
        <w:gridCol w:w="112"/>
        <w:gridCol w:w="116"/>
        <w:gridCol w:w="78"/>
        <w:gridCol w:w="1012"/>
        <w:gridCol w:w="116"/>
        <w:gridCol w:w="234"/>
        <w:gridCol w:w="56"/>
        <w:gridCol w:w="723"/>
        <w:gridCol w:w="234"/>
        <w:gridCol w:w="176"/>
        <w:gridCol w:w="57"/>
        <w:gridCol w:w="733"/>
        <w:gridCol w:w="112"/>
      </w:tblGrid>
      <w:tr w:rsidR="00000000">
        <w:trPr>
          <w:jc w:val="center"/>
        </w:trPr>
        <w:tc>
          <w:tcPr>
            <w:tcW w:w="30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Falabella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Cencosu</w:t>
            </w:r>
            <w:r>
              <w:rPr>
                <w:rFonts w:ascii="Arial" w:eastAsia="Times New Roman" w:hAnsi="Arial" w:cs="Arial"/>
                <w:b/>
                <w:bCs/>
              </w:rPr>
              <w:t>d</w:t>
            </w:r>
            <w:r>
              <w:rPr>
                <w:rFonts w:ascii="Arial" w:eastAsia="Times New Roman" w:hAnsi="Arial" w:cs="Arial"/>
                <w:b/>
                <w:bCs/>
                <w:sz w:val="15"/>
                <w:szCs w:val="15"/>
                <w:vertAlign w:val="superscript"/>
              </w:rPr>
              <w:t xml:space="preserve">(1)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Ripley</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La Polar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242,806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272,388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235,520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161,000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Market share(2)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517"/>
        <w:gridCol w:w="111"/>
        <w:gridCol w:w="767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Source:</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Falabella_s public filings, Ripley_s public filings and internal estimates.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Not including Johnson_s stores.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As of December </w:t>
            </w:r>
            <w:r>
              <w:rPr>
                <w:rFonts w:ascii="Arial" w:eastAsia="Times New Roman" w:hAnsi="Arial" w:cs="Arial"/>
                <w:sz w:val="15"/>
                <w:szCs w:val="15"/>
              </w:rPr>
              <w:t xml:space="preserve">31, 2011, based on reported net revenues from department store operations in Chile; market share estimates based solely on reported sales from the four major operators, and does not take into account the market participation of other smaller participants.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- 162 - </w:t>
      </w:r>
    </w:p>
    <w:p w:rsidR="00000000" w:rsidRDefault="003E5AFF">
      <w:pPr>
        <w:rPr>
          <w:rFonts w:eastAsia="Times New Roman" w:cs="Times New Roman"/>
        </w:rPr>
      </w:pPr>
      <w:r>
        <w:rPr>
          <w:rFonts w:eastAsia="Times New Roman" w:cs="Times New Roman"/>
        </w:rPr>
        <w:pict>
          <v:rect id="_x0000_i1196" style="width:441.9pt;height:3pt" o:hralign="center" o:hrstd="t" o:hrnoshade="t" o:hr="t" fillcolor="#999" stroked="f"/>
        </w:pict>
      </w:r>
    </w:p>
    <w:p w:rsidR="00000000" w:rsidRDefault="003E5AFF">
      <w:pPr>
        <w:pStyle w:val="Heading5"/>
        <w:rPr>
          <w:rFonts w:eastAsia="Times New Roman" w:cs="Times New Roman"/>
        </w:rPr>
      </w:pPr>
      <w:hyperlink r:id="rId21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For the year ended December 31, 2011, we believe we were the second-largest operator of department stores in Chile in terms of net sales based on our comparison against publically filed information from our </w:t>
      </w:r>
      <w:r>
        <w:rPr>
          <w:rFonts w:ascii="Arial" w:hAnsi="Arial" w:cs="Arial"/>
        </w:rPr>
        <w:t>main competitor as of December 31, 2011. Based on that comparison, we estimate that. Falabella is the largest department store operator in Chile and, at December 31, 2011, operated 36 department stores with a total of 242,806 square meters of selling space</w:t>
      </w:r>
      <w:r>
        <w:rPr>
          <w:rFonts w:ascii="Arial" w:hAnsi="Arial" w:cs="Arial"/>
        </w:rPr>
        <w:t>. Falabella_s credit cards and loyalty programs are well-known in the market. On the same basis, we believe Ripley is the third-largest department store operator and, at December 31, 2011, operated 38 department stores with a total of 235,520 square meters</w:t>
      </w:r>
      <w:r>
        <w:rPr>
          <w:rFonts w:ascii="Arial" w:hAnsi="Arial" w:cs="Arial"/>
        </w:rPr>
        <w:t xml:space="preserve"> of selling space. Many of our competitors have active financial services divisions that support their retail activities, and both Falabella and Ripley operate banks focused on consumer lending. </w:t>
      </w:r>
    </w:p>
    <w:p w:rsidR="00000000" w:rsidRDefault="003E5AFF">
      <w:pPr>
        <w:pStyle w:val="NormalWeb"/>
        <w:spacing w:before="240" w:beforeAutospacing="0" w:after="0" w:afterAutospacing="0"/>
      </w:pPr>
      <w:r>
        <w:rPr>
          <w:rFonts w:ascii="Arial" w:hAnsi="Arial" w:cs="Arial"/>
          <w:b/>
          <w:bCs/>
          <w:sz w:val="24"/>
          <w:szCs w:val="24"/>
        </w:rPr>
        <w:t xml:space="preserve">The shopping center industry </w:t>
      </w:r>
    </w:p>
    <w:p w:rsidR="00000000" w:rsidRDefault="003E5AFF">
      <w:pPr>
        <w:pStyle w:val="NormalWeb"/>
        <w:spacing w:before="120" w:beforeAutospacing="0" w:after="0" w:afterAutospacing="0"/>
      </w:pP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rPr>
        <w:t>The first shopping center in Chile, Cosmocentro Apumanque, opened in 1981. Shopping center sales as a percentage of total retail sales in the country have increased continuously since then, according to the Chilean Council of Shopping Centers. However, a m</w:t>
      </w:r>
      <w:r>
        <w:rPr>
          <w:rFonts w:ascii="Arial" w:hAnsi="Arial" w:cs="Arial"/>
        </w:rPr>
        <w:t xml:space="preserve">ajority of retail sales in Chile still take place in stand alone stores, according to the International Council of Shopping Centers. We entered the shopping mall industry in Chile in the early 1990s with the Alto Las Condes shopping mall. </w:t>
      </w:r>
    </w:p>
    <w:p w:rsidR="00000000" w:rsidRDefault="003E5AFF">
      <w:pPr>
        <w:pStyle w:val="NormalWeb"/>
        <w:spacing w:before="120" w:beforeAutospacing="0" w:after="0" w:afterAutospacing="0"/>
      </w:pPr>
      <w:r>
        <w:rPr>
          <w:rFonts w:ascii="Arial" w:hAnsi="Arial" w:cs="Arial"/>
        </w:rPr>
        <w:t>The Chilean shop</w:t>
      </w:r>
      <w:r>
        <w:rPr>
          <w:rFonts w:ascii="Arial" w:hAnsi="Arial" w:cs="Arial"/>
        </w:rPr>
        <w:t>ping center industry is highly competitive and, at December 31, 2011, was composed of more than 30 shopping centers nationwide, the majority of which are operated by us, Grupo Plaza (controlled by Falabella), Parque Arauco and Saitec (controlled by Walmart</w:t>
      </w:r>
      <w:r>
        <w:rPr>
          <w:rFonts w:ascii="Arial" w:hAnsi="Arial" w:cs="Arial"/>
        </w:rPr>
        <w:t xml:space="preserve"> Chile), according to public and internal estimates. Shopping centers not only compete with other shopping centers, but also with an increasing number of individual retail stores. </w:t>
      </w:r>
    </w:p>
    <w:p w:rsidR="00000000" w:rsidRDefault="003E5AFF">
      <w:pPr>
        <w:pStyle w:val="NormalWeb"/>
        <w:spacing w:before="120" w:beforeAutospacing="0" w:after="0" w:afterAutospacing="0"/>
      </w:pPr>
      <w:r>
        <w:rPr>
          <w:rFonts w:ascii="Arial" w:hAnsi="Arial" w:cs="Arial"/>
        </w:rPr>
        <w:t>The following table provides certain information about us and our competito</w:t>
      </w:r>
      <w:r>
        <w:rPr>
          <w:rFonts w:ascii="Arial" w:hAnsi="Arial" w:cs="Arial"/>
        </w:rPr>
        <w:t xml:space="preserve">rs in Chile at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593"/>
        <w:gridCol w:w="490"/>
        <w:gridCol w:w="204"/>
        <w:gridCol w:w="1220"/>
        <w:gridCol w:w="490"/>
        <w:gridCol w:w="552"/>
        <w:gridCol w:w="79"/>
        <w:gridCol w:w="566"/>
        <w:gridCol w:w="112"/>
      </w:tblGrid>
      <w:tr w:rsidR="00000000">
        <w:trPr>
          <w:jc w:val="center"/>
        </w:trPr>
        <w:tc>
          <w:tcPr>
            <w:tcW w:w="375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Gross leasable</w:t>
            </w:r>
            <w:r>
              <w:rPr>
                <w:rFonts w:ascii="Arial" w:eastAsia="Times New Roman" w:hAnsi="Arial" w:cs="Arial"/>
                <w:b/>
                <w:bCs/>
              </w:rPr>
              <w:br/>
              <w:t>are</w:t>
            </w:r>
            <w:r>
              <w:rPr>
                <w:rFonts w:ascii="Arial" w:eastAsia="Times New Roman" w:hAnsi="Arial" w:cs="Arial"/>
                <w:b/>
                <w:bCs/>
              </w:rPr>
              <w:t>a</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Market</w:t>
            </w:r>
            <w:r>
              <w:rPr>
                <w:rFonts w:ascii="Arial" w:eastAsia="Times New Roman" w:hAnsi="Arial" w:cs="Arial"/>
                <w:b/>
                <w:bCs/>
              </w:rPr>
              <w:br/>
              <w:t>share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Grupo Plaza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Cencosud(2)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Saitec(2)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Parque Arauco S.A.(3)</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60" w:beforeAutospacing="0" w:after="0" w:afterAutospacing="0"/>
      </w:pPr>
      <w:r>
        <w:rPr>
          <w:rFonts w:ascii="Arial" w:hAnsi="Arial" w:cs="Arial"/>
          <w:sz w:val="15"/>
          <w:szCs w:val="15"/>
        </w:rPr>
        <w:t xml:space="preserve">Source: Chilean Council of Shopping Centers and public filings by Falabella, Parque Arauco and Walmart Chile, as well as internal estimates.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 thousands of square meters.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area leased to related companies.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Gross leasable area adjusted to reflect proportional ownership participation in each shopping center. </w:t>
            </w:r>
          </w:p>
        </w:tc>
      </w:tr>
    </w:tbl>
    <w:p w:rsidR="00000000" w:rsidRDefault="003E5AFF">
      <w:pPr>
        <w:pStyle w:val="NormalWeb"/>
        <w:spacing w:before="120" w:beforeAutospacing="0" w:after="0" w:afterAutospacing="0"/>
      </w:pPr>
      <w:r>
        <w:rPr>
          <w:rFonts w:ascii="Arial" w:hAnsi="Arial" w:cs="Arial"/>
        </w:rPr>
        <w:t>At December 31, 2011, we were the second-largest shopping center operator in Chile in terms of gross leasable space according to data published by</w:t>
      </w:r>
      <w:r>
        <w:rPr>
          <w:rFonts w:ascii="Arial" w:hAnsi="Arial" w:cs="Arial"/>
        </w:rPr>
        <w:t xml:space="preserve"> the Chilean Council of Shopping Centers, and the leading operator in the upscale market segment according to our estimates and our experience in the industry. As noted in the table above, our principal competitors include Grupo Plaza and Parque Arauco. Pa</w:t>
      </w:r>
      <w:r>
        <w:rPr>
          <w:rFonts w:ascii="Arial" w:hAnsi="Arial" w:cs="Arial"/>
        </w:rPr>
        <w:t xml:space="preserve">rque Arauco_s shopping center Parque Arauco is located close to and directly competes with our largest shopping center, Alto Las Condes. Parque Arauco offers many of the same services as Alto Las Condes including ample parking and major department stores.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- 163 - </w:t>
      </w:r>
    </w:p>
    <w:p w:rsidR="00000000" w:rsidRDefault="003E5AFF">
      <w:pPr>
        <w:rPr>
          <w:rFonts w:eastAsia="Times New Roman" w:cs="Times New Roman"/>
        </w:rPr>
      </w:pPr>
      <w:r>
        <w:rPr>
          <w:rFonts w:eastAsia="Times New Roman" w:cs="Times New Roman"/>
        </w:rPr>
        <w:pict>
          <v:rect id="_x0000_i1197" style="width:441.9pt;height:3pt" o:hralign="center" o:hrstd="t" o:hrnoshade="t" o:hr="t" fillcolor="#999" stroked="f"/>
        </w:pict>
      </w:r>
    </w:p>
    <w:p w:rsidR="00000000" w:rsidRDefault="003E5AFF">
      <w:pPr>
        <w:pStyle w:val="Heading5"/>
        <w:rPr>
          <w:rFonts w:eastAsia="Times New Roman" w:cs="Times New Roman"/>
        </w:rPr>
      </w:pPr>
      <w:hyperlink r:id="rId21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We are in the process of opening two additional shopping centers in Chile. We believe that with</w:t>
      </w:r>
      <w:r>
        <w:rPr>
          <w:rFonts w:ascii="Arial" w:hAnsi="Arial" w:cs="Arial"/>
        </w:rPr>
        <w:t xml:space="preserve"> these new openings we will significantly increase our market share in the Chilean shopping center market. </w:t>
      </w:r>
    </w:p>
    <w:p w:rsidR="00000000" w:rsidRDefault="003E5AFF">
      <w:pPr>
        <w:pStyle w:val="NormalWeb"/>
        <w:spacing w:before="240" w:beforeAutospacing="0" w:after="0" w:afterAutospacing="0"/>
      </w:pPr>
      <w:r>
        <w:rPr>
          <w:rFonts w:ascii="Arial" w:hAnsi="Arial" w:cs="Arial"/>
          <w:b/>
          <w:bCs/>
          <w:i/>
          <w:iCs/>
        </w:rPr>
        <w:t xml:space="preserve">Argentina </w:t>
      </w:r>
    </w:p>
    <w:p w:rsidR="00000000" w:rsidRDefault="003E5AFF">
      <w:pPr>
        <w:pStyle w:val="NormalWeb"/>
        <w:spacing w:before="120" w:beforeAutospacing="0" w:after="0" w:afterAutospacing="0"/>
      </w:pPr>
      <w:r>
        <w:rPr>
          <w:rFonts w:ascii="Arial" w:hAnsi="Arial" w:cs="Arial"/>
        </w:rPr>
        <w:t>In 2011, the Argentine shopping center industry was composed of more than 50 shopping centers, the majority of which are operated by IRSA</w:t>
      </w:r>
      <w:r>
        <w:rPr>
          <w:rFonts w:ascii="Arial" w:hAnsi="Arial" w:cs="Arial"/>
        </w:rPr>
        <w:t xml:space="preserve"> Inversiones Representaciones S.A. (_IRSA_) and Cencosud. As in Chile, shopping centers are relatively new to the market in Argentina, and most retail sales still take place at individual retail stores, according to the International Council of Shopping Ce</w:t>
      </w:r>
      <w:r>
        <w:rPr>
          <w:rFonts w:ascii="Arial" w:hAnsi="Arial" w:cs="Arial"/>
        </w:rPr>
        <w:t xml:space="preserve">nters. </w:t>
      </w:r>
    </w:p>
    <w:p w:rsidR="00000000" w:rsidRDefault="003E5AFF">
      <w:pPr>
        <w:pStyle w:val="NormalWeb"/>
        <w:spacing w:before="120" w:beforeAutospacing="0" w:after="0" w:afterAutospacing="0"/>
      </w:pPr>
      <w:r>
        <w:rPr>
          <w:rFonts w:ascii="Arial" w:hAnsi="Arial" w:cs="Arial"/>
        </w:rPr>
        <w:t xml:space="preserve">The following table presents certain information about us and our main competitor in Argentina, IRSA, as of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5205"/>
        <w:gridCol w:w="400"/>
        <w:gridCol w:w="59"/>
        <w:gridCol w:w="597"/>
        <w:gridCol w:w="400"/>
        <w:gridCol w:w="533"/>
        <w:gridCol w:w="201"/>
        <w:gridCol w:w="799"/>
        <w:gridCol w:w="112"/>
      </w:tblGrid>
      <w:tr w:rsidR="00000000">
        <w:trPr>
          <w:jc w:val="center"/>
        </w:trPr>
        <w:tc>
          <w:tcPr>
            <w:tcW w:w="3900" w:type="pct"/>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Market</w:t>
            </w:r>
            <w:r>
              <w:rPr>
                <w:rFonts w:ascii="Arial" w:eastAsia="Times New Roman" w:hAnsi="Arial" w:cs="Arial"/>
                <w:b/>
                <w:bCs/>
              </w:rPr>
              <w:br/>
              <w:t>shar</w:t>
            </w:r>
            <w:r>
              <w:rPr>
                <w:rFonts w:ascii="Arial" w:eastAsia="Times New Roman" w:hAnsi="Arial" w:cs="Arial"/>
                <w:b/>
                <w:bCs/>
              </w:rPr>
              <w:t>e</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Number of</w:t>
            </w:r>
            <w:r>
              <w:rPr>
                <w:rFonts w:ascii="Arial" w:eastAsia="Times New Roman" w:hAnsi="Arial" w:cs="Arial"/>
                <w:b/>
                <w:bCs/>
              </w:rPr>
              <w:br/>
              <w:t>shopping</w:t>
            </w:r>
            <w:r>
              <w:rPr>
                <w:rFonts w:ascii="Arial" w:eastAsia="Times New Roman" w:hAnsi="Arial" w:cs="Arial"/>
                <w:b/>
                <w:bCs/>
              </w:rPr>
              <w:br/>
              <w:t>centers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IRSA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Cencosud(2)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60" w:beforeAutospacing="0" w:after="0" w:afterAutospacing="0"/>
      </w:pPr>
      <w:r>
        <w:rPr>
          <w:rFonts w:ascii="Arial" w:hAnsi="Arial" w:cs="Arial"/>
          <w:sz w:val="15"/>
          <w:szCs w:val="15"/>
        </w:rPr>
        <w:t xml:space="preserve">Source: Argentine Chamber of Shopping Centers, IRSA and INDEC.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Based on gross leasable area and including only the two largest operators.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Does not include area used by affiliate companies. </w:t>
            </w:r>
          </w:p>
        </w:tc>
      </w:tr>
    </w:tbl>
    <w:p w:rsidR="00000000" w:rsidRDefault="003E5AFF">
      <w:pPr>
        <w:pStyle w:val="NormalWeb"/>
        <w:spacing w:before="120" w:beforeAutospacing="0" w:after="0" w:afterAutospacing="0"/>
      </w:pPr>
      <w:r>
        <w:rPr>
          <w:rFonts w:ascii="Arial" w:hAnsi="Arial" w:cs="Arial"/>
        </w:rPr>
        <w:t>At December </w:t>
      </w:r>
      <w:r>
        <w:rPr>
          <w:rFonts w:ascii="Arial" w:hAnsi="Arial" w:cs="Arial"/>
        </w:rPr>
        <w:t>31, 2011, we were the second-largest shopping center operator in Argentina in terms of gross leasable space, with a market share of 42% according to INDEC. Our principal competitor in Argentina_s shopping center market is IRSA which owns and operates the A</w:t>
      </w:r>
      <w:r>
        <w:rPr>
          <w:rFonts w:ascii="Arial" w:hAnsi="Arial" w:cs="Arial"/>
        </w:rPr>
        <w:t xml:space="preserve">basto Shopping Center, Alto Palermo, Alto Avellandeda, Paseo Alcorta and Patio Bullrich, among others. At December 31, 2011, IRSA had a 58% share of the Argentine shopping center market. </w:t>
      </w:r>
    </w:p>
    <w:p w:rsidR="00000000" w:rsidRDefault="003E5AFF">
      <w:pPr>
        <w:pStyle w:val="NormalWeb"/>
        <w:spacing w:before="240" w:beforeAutospacing="0" w:after="0" w:afterAutospacing="0"/>
      </w:pPr>
      <w:r>
        <w:rPr>
          <w:rFonts w:ascii="Arial" w:hAnsi="Arial" w:cs="Arial"/>
          <w:b/>
          <w:bCs/>
          <w:i/>
          <w:iCs/>
        </w:rPr>
        <w:t xml:space="preserve">Peru </w:t>
      </w:r>
    </w:p>
    <w:p w:rsidR="00000000" w:rsidRDefault="003E5AFF">
      <w:pPr>
        <w:pStyle w:val="NormalWeb"/>
        <w:spacing w:before="120" w:beforeAutospacing="0" w:after="0" w:afterAutospacing="0"/>
      </w:pPr>
      <w:r>
        <w:rPr>
          <w:rFonts w:ascii="Arial" w:hAnsi="Arial" w:cs="Arial"/>
        </w:rPr>
        <w:t>In 2011, we estimate the Peruvian shopping center industry was</w:t>
      </w:r>
      <w:r>
        <w:rPr>
          <w:rFonts w:ascii="Arial" w:hAnsi="Arial" w:cs="Arial"/>
        </w:rPr>
        <w:t xml:space="preserve"> composed of more than 30 shopping centers, the majority of which are operated by Real Plaza (associated with the Interbank Group that also operates Supermercados Peruanos), Falabella, Aventura Plaza, Parque Arauco and Jokey Plaza. The shopping centers ind</w:t>
      </w:r>
      <w:r>
        <w:rPr>
          <w:rFonts w:ascii="Arial" w:hAnsi="Arial" w:cs="Arial"/>
        </w:rPr>
        <w:t xml:space="preserve">ustry is relatively new to the market in Peru, and most retail sales still take place at individual retail stores. </w:t>
      </w:r>
    </w:p>
    <w:p w:rsidR="00000000" w:rsidRDefault="003E5AFF">
      <w:pPr>
        <w:pStyle w:val="NormalWeb"/>
        <w:spacing w:before="120" w:beforeAutospacing="0" w:after="0" w:afterAutospacing="0"/>
      </w:pPr>
      <w:r>
        <w:rPr>
          <w:rFonts w:ascii="Arial" w:hAnsi="Arial" w:cs="Arial"/>
        </w:rPr>
        <w:t xml:space="preserve">The following table sets forth the market shares held by the major shopping center operators in Peru as of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5753"/>
        <w:gridCol w:w="284"/>
        <w:gridCol w:w="113"/>
        <w:gridCol w:w="677"/>
        <w:gridCol w:w="284"/>
        <w:gridCol w:w="427"/>
        <w:gridCol w:w="59"/>
        <w:gridCol w:w="597"/>
        <w:gridCol w:w="112"/>
      </w:tblGrid>
      <w:tr w:rsidR="00000000">
        <w:trPr>
          <w:jc w:val="center"/>
        </w:trPr>
        <w:tc>
          <w:tcPr>
            <w:tcW w:w="405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Gross</w:t>
            </w:r>
            <w:r>
              <w:rPr>
                <w:rFonts w:ascii="Arial" w:eastAsia="Times New Roman" w:hAnsi="Arial" w:cs="Arial"/>
                <w:b/>
                <w:bCs/>
              </w:rPr>
              <w:br/>
              <w:t>leasable</w:t>
            </w:r>
            <w:r>
              <w:rPr>
                <w:rFonts w:ascii="Arial" w:eastAsia="Times New Roman" w:hAnsi="Arial" w:cs="Arial"/>
                <w:b/>
                <w:bCs/>
              </w:rPr>
              <w:br/>
              <w:t>are</w:t>
            </w:r>
            <w:r>
              <w:rPr>
                <w:rFonts w:ascii="Arial" w:eastAsia="Times New Roman" w:hAnsi="Arial" w:cs="Arial"/>
                <w:b/>
                <w:bCs/>
              </w:rPr>
              <w:t>a</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Market</w:t>
            </w:r>
            <w:r>
              <w:rPr>
                <w:rFonts w:ascii="Arial" w:eastAsia="Times New Roman" w:hAnsi="Arial" w:cs="Arial"/>
                <w:b/>
                <w:bCs/>
              </w:rPr>
              <w:br/>
              <w:t>shar</w:t>
            </w:r>
            <w:r>
              <w:rPr>
                <w:rFonts w:ascii="Arial" w:eastAsia="Times New Roman" w:hAnsi="Arial" w:cs="Arial"/>
                <w:b/>
                <w:bCs/>
              </w:rPr>
              <w:t>e</w:t>
            </w:r>
            <w:r>
              <w:rPr>
                <w:rFonts w:ascii="Arial" w:eastAsia="Times New Roman" w:hAnsi="Arial" w:cs="Arial"/>
                <w:b/>
                <w:bCs/>
                <w:sz w:val="15"/>
                <w:szCs w:val="15"/>
                <w:vertAlign w:val="superscript"/>
              </w:rPr>
              <w:t xml:space="preserve">(2)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Real Plaza (Interbank)</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Falabella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Aventura Plaza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Jockey Plaza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Parque Arauco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Cencosud</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60" w:beforeAutospacing="0" w:after="0" w:afterAutospacing="0"/>
      </w:pPr>
      <w:r>
        <w:rPr>
          <w:rFonts w:ascii="Arial" w:hAnsi="Arial" w:cs="Arial"/>
          <w:sz w:val="15"/>
          <w:szCs w:val="15"/>
        </w:rPr>
        <w:t xml:space="preserve">Source: Company filings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 thousands of square meters.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Based on gross leasable area and including only the operators shown.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- 164 - </w:t>
      </w:r>
    </w:p>
    <w:p w:rsidR="00000000" w:rsidRDefault="003E5AFF">
      <w:pPr>
        <w:rPr>
          <w:rFonts w:eastAsia="Times New Roman" w:cs="Times New Roman"/>
        </w:rPr>
      </w:pPr>
      <w:r>
        <w:rPr>
          <w:rFonts w:eastAsia="Times New Roman" w:cs="Times New Roman"/>
        </w:rPr>
        <w:pict>
          <v:rect id="_x0000_i1198" style="width:441.9pt;height:3pt" o:hralign="center" o:hrstd="t" o:hrnoshade="t" o:hr="t" fillcolor="#999" stroked="f"/>
        </w:pict>
      </w:r>
    </w:p>
    <w:p w:rsidR="00000000" w:rsidRDefault="003E5AFF">
      <w:pPr>
        <w:pStyle w:val="Heading5"/>
        <w:rPr>
          <w:rFonts w:eastAsia="Times New Roman" w:cs="Times New Roman"/>
        </w:rPr>
      </w:pPr>
      <w:hyperlink r:id="rId21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Our principal shopping center in Peru is Plaza Lima Sur with a supermarket and leasable area of 40,160 square meters, resulting in a market share of approximately 4.6% of the shopping center market, based on gross leasable area at December 31, 2011. We bel</w:t>
      </w:r>
      <w:r>
        <w:rPr>
          <w:rFonts w:ascii="Arial" w:hAnsi="Arial" w:cs="Arial"/>
        </w:rPr>
        <w:t xml:space="preserve">ieve that the shopping center market in Peru has a high potential for growth, and we are currently developing additional shopping centers in Peru, which we believe will significantly increase our market share in Peru. </w:t>
      </w:r>
    </w:p>
    <w:p w:rsidR="00000000" w:rsidRDefault="003E5AFF">
      <w:pPr>
        <w:pStyle w:val="NormalWeb"/>
        <w:spacing w:before="120" w:beforeAutospacing="0" w:after="0" w:afterAutospacing="0"/>
      </w:pPr>
      <w:r>
        <w:rPr>
          <w:rFonts w:ascii="Arial" w:hAnsi="Arial" w:cs="Arial"/>
        </w:rPr>
        <w:t>We are in the process of opening an a</w:t>
      </w:r>
      <w:r>
        <w:rPr>
          <w:rFonts w:ascii="Arial" w:hAnsi="Arial" w:cs="Arial"/>
        </w:rPr>
        <w:t xml:space="preserve">dditional shopping center in Peru, to be located in the sector of Miraflores in Lima, scheduled to open in June 2012 with 100% occupancy, 19 third-party stores and a gross leasable area of 1,026 square meters.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- 165 - </w:t>
      </w:r>
    </w:p>
    <w:p w:rsidR="00000000" w:rsidRDefault="003E5AFF">
      <w:pPr>
        <w:rPr>
          <w:rFonts w:eastAsia="Times New Roman" w:cs="Times New Roman"/>
        </w:rPr>
      </w:pPr>
      <w:r>
        <w:rPr>
          <w:rFonts w:eastAsia="Times New Roman" w:cs="Times New Roman"/>
        </w:rPr>
        <w:pict>
          <v:rect id="_x0000_i1199" style="width:441.9pt;height:3pt" o:hralign="center" o:hrstd="t" o:hrnoshade="t" o:hr="t" fillcolor="#999" stroked="f"/>
        </w:pict>
      </w:r>
    </w:p>
    <w:p w:rsidR="00000000" w:rsidRDefault="003E5AFF">
      <w:pPr>
        <w:pStyle w:val="Heading5"/>
        <w:rPr>
          <w:rFonts w:eastAsia="Times New Roman" w:cs="Times New Roman"/>
        </w:rPr>
      </w:pPr>
      <w:hyperlink r:id="rId21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20" w:name="rom343004_19"/>
      <w:bookmarkEnd w:id="20"/>
      <w:r>
        <w:rPr>
          <w:rFonts w:ascii="Arial" w:hAnsi="Arial" w:cs="Arial"/>
          <w:b/>
          <w:bCs/>
          <w:sz w:val="36"/>
          <w:szCs w:val="36"/>
        </w:rPr>
        <w:t xml:space="preserve">Business </w:t>
      </w:r>
    </w:p>
    <w:p w:rsidR="00000000" w:rsidRDefault="003E5AFF">
      <w:pPr>
        <w:pStyle w:val="NormalWeb"/>
        <w:spacing w:before="120" w:beforeAutospacing="0" w:after="0" w:afterAutospacing="0"/>
      </w:pPr>
      <w:r>
        <w:rPr>
          <w:rFonts w:ascii="Arial" w:hAnsi="Arial" w:cs="Arial"/>
          <w:b/>
          <w:bCs/>
          <w:sz w:val="24"/>
          <w:szCs w:val="24"/>
        </w:rPr>
        <w:t xml:space="preserve">Our business </w:t>
      </w:r>
    </w:p>
    <w:p w:rsidR="00000000" w:rsidRDefault="003E5AFF">
      <w:pPr>
        <w:pStyle w:val="NormalWeb"/>
        <w:spacing w:before="120" w:beforeAutospacing="0" w:after="0" w:afterAutospacing="0"/>
      </w:pPr>
      <w:r>
        <w:rPr>
          <w:rFonts w:ascii="Arial" w:hAnsi="Arial" w:cs="Arial"/>
        </w:rPr>
        <w:t>We are a leading multi-brand retailer in South America, based on revenues, selling space, number of stores and gross leasable area. We operate through a number of formats, including supermarkets, home improvement stores, shopping centers and department sto</w:t>
      </w:r>
      <w:r>
        <w:rPr>
          <w:rFonts w:ascii="Arial" w:hAnsi="Arial" w:cs="Arial"/>
        </w:rPr>
        <w:t>res. We are headquartered in Chile and have operations in Chile, Argentina, Brazil, Colombia and Peru. Our business consists of six segments, including four retail segments, which allows us to reach a wide range of customers offering various combinations o</w:t>
      </w:r>
      <w:r>
        <w:rPr>
          <w:rFonts w:ascii="Arial" w:hAnsi="Arial" w:cs="Arial"/>
        </w:rPr>
        <w:t>f products, price, quality and service. We seek to increase operations through organic growth and acquisitions in Brazil and Peru, which the Company believes are high growth and underpenetrated markets due to their favorable demographics, sustainable house</w:t>
      </w:r>
      <w:r>
        <w:rPr>
          <w:rFonts w:ascii="Arial" w:hAnsi="Arial" w:cs="Arial"/>
        </w:rPr>
        <w:t>hold consumption growth, low formal retail penetration, and strong macroeconomic environments, as described in _Our Business_ and _Industry Overview and Competition._ As a complement to our core retailing business, we are actively involved across the regio</w:t>
      </w:r>
      <w:r>
        <w:rPr>
          <w:rFonts w:ascii="Arial" w:hAnsi="Arial" w:cs="Arial"/>
        </w:rPr>
        <w:t>n in the commercial real estate development business, particularly in Chile, Argentina and Peru, with 25 shopping malls representing 566,442 square meters of gross leasable area as of March 31, 2012, and we also offer private label credit cards, consumer l</w:t>
      </w:r>
      <w:r>
        <w:rPr>
          <w:rFonts w:ascii="Arial" w:hAnsi="Arial" w:cs="Arial"/>
        </w:rPr>
        <w:t xml:space="preserve">oans and limited financial services to our retail customers. </w:t>
      </w:r>
    </w:p>
    <w:p w:rsidR="00000000" w:rsidRDefault="003E5AFF">
      <w:pPr>
        <w:pStyle w:val="NormalWeb"/>
        <w:spacing w:before="120" w:beforeAutospacing="0" w:after="0" w:afterAutospacing="0"/>
      </w:pPr>
      <w:r>
        <w:rPr>
          <w:rFonts w:ascii="Arial" w:hAnsi="Arial" w:cs="Arial"/>
        </w:rPr>
        <w:t>For the year ended December 31, 2011, we had 826 stores and shopping centers with an aggregate of 3,131,729 square meters selling space and had assets of Ch$7,656,561 million, liabilities of Ch$</w:t>
      </w:r>
      <w:r>
        <w:rPr>
          <w:rFonts w:ascii="Arial" w:hAnsi="Arial" w:cs="Arial"/>
        </w:rPr>
        <w:t xml:space="preserve">4,686,927 million, net earnings attributable to controlling shareholders of Ch$285,915 million, and shareholders_ equity of Ch$2,874,438 million. </w:t>
      </w:r>
    </w:p>
    <w:p w:rsidR="00000000" w:rsidRDefault="003E5AFF">
      <w:pPr>
        <w:pStyle w:val="NormalWeb"/>
        <w:spacing w:before="120" w:beforeAutospacing="0" w:after="0" w:afterAutospacing="0"/>
      </w:pPr>
      <w:r>
        <w:rPr>
          <w:rFonts w:ascii="Arial" w:hAnsi="Arial" w:cs="Arial"/>
        </w:rPr>
        <w:t xml:space="preserve">Throughout our 35-year history of growth we have developed, acquired, integrated and expanded several retail </w:t>
      </w:r>
      <w:r>
        <w:rPr>
          <w:rFonts w:ascii="Arial" w:hAnsi="Arial" w:cs="Arial"/>
        </w:rPr>
        <w:t>businesses with strong brands in the various markets where we operate. Since January 1, 2005, we have grown our total number of stores and shopping centers from 425 to 906 and the total selling space of our retail stores and shopping centers from 1,433,838</w:t>
      </w:r>
      <w:r>
        <w:rPr>
          <w:rFonts w:ascii="Arial" w:hAnsi="Arial" w:cs="Arial"/>
        </w:rPr>
        <w:t xml:space="preserve"> to 3,302,564 square meters. In addition, over the same period, we completed several strategic acquisitions that have significantly increased the size and geographic scope of our operations. </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spacing w:before="120" w:beforeAutospacing="0" w:after="0" w:afterAutospacing="0"/>
        <w:jc w:val="center"/>
      </w:pPr>
      <w:r>
        <w:fldChar w:fldCharType="begin" w:fldLock="1"/>
      </w:r>
      <w:r>
        <w:instrText xml:space="preserve"> </w:instrText>
      </w:r>
      <w:r>
        <w:instrText>INCLUDEPICTURE  \d "Macintosh HD:Users:Go:Dropbox:Creatika (1)</w:instrText>
      </w:r>
      <w:r>
        <w:instrText>:5 Filings:Filings SEC:./Amendment No. 2 to Form F-1_files/g343004g94m05.jpg" \x \y \* MERGEFORMATINET</w:instrText>
      </w:r>
      <w:r>
        <w:instrText xml:space="preserve"> </w:instrText>
      </w:r>
      <w:r>
        <w:fldChar w:fldCharType="separate"/>
      </w:r>
      <w:r>
        <w:pict>
          <v:shape id="_x0000_i1200" type="#_x0000_t75" alt="OGO" style="width:24pt;height:24pt">
            <v:imagedata r:id="rId217"/>
          </v:shape>
        </w:pict>
      </w:r>
      <w:r>
        <w:fldChar w:fldCharType="end"/>
      </w:r>
    </w:p>
    <w:p w:rsidR="00000000" w:rsidRDefault="003E5AFF">
      <w:pPr>
        <w:pStyle w:val="NormalWeb"/>
        <w:spacing w:before="120" w:beforeAutospacing="0" w:after="0" w:afterAutospacing="0"/>
      </w:pPr>
      <w:r>
        <w:rPr>
          <w:rFonts w:ascii="Arial" w:hAnsi="Arial" w:cs="Arial"/>
        </w:rPr>
        <w:t>We believe that our strategy of operating as an integrated multi-format and multi-brand retailer, combined with our broad product offering and portfolio of brands has been one of t</w:t>
      </w:r>
      <w:r>
        <w:rPr>
          <w:rFonts w:ascii="Arial" w:hAnsi="Arial" w:cs="Arial"/>
        </w:rPr>
        <w:t xml:space="preserve">he key strategic advantages in the successful growth of our businesses. Today we operate a diversified operational and geographic footprint across Latin American markets with highly attractive demographics and strong macroeconomic fundamentals. We believe </w:t>
      </w:r>
      <w:r>
        <w:rPr>
          <w:rFonts w:ascii="Arial" w:hAnsi="Arial" w:cs="Arial"/>
        </w:rPr>
        <w:t xml:space="preserve">that our broad presence and our competitive position across key markets will continue to allow us to consolidate the retail market and to benefit from the expected strong growth in underpenetrated retail markets such as Brazil and Peru.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- 166 - </w:t>
      </w:r>
    </w:p>
    <w:p w:rsidR="00000000" w:rsidRDefault="003E5AFF">
      <w:pPr>
        <w:rPr>
          <w:rFonts w:eastAsia="Times New Roman" w:cs="Times New Roman"/>
        </w:rPr>
      </w:pPr>
      <w:r>
        <w:rPr>
          <w:rFonts w:eastAsia="Times New Roman" w:cs="Times New Roman"/>
        </w:rPr>
        <w:pict>
          <v:rect id="_x0000_i1201" style="width:441.9pt;height:3pt" o:hralign="center" o:hrstd="t" o:hrnoshade="t" o:hr="t" fillcolor="#999" stroked="f"/>
        </w:pict>
      </w:r>
    </w:p>
    <w:p w:rsidR="00000000" w:rsidRDefault="003E5AFF">
      <w:pPr>
        <w:pStyle w:val="Heading5"/>
        <w:rPr>
          <w:rFonts w:eastAsia="Times New Roman" w:cs="Times New Roman"/>
        </w:rPr>
      </w:pPr>
      <w:hyperlink r:id="rId21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following table presents our total number of stores and shopping centers by country as of March</w:t>
      </w:r>
      <w:r>
        <w:rPr>
          <w:rFonts w:ascii="Arial" w:hAnsi="Arial" w:cs="Arial"/>
        </w:rPr>
        <w:t xml:space="preserve"> 31, 2012: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946"/>
        <w:gridCol w:w="147"/>
        <w:gridCol w:w="70"/>
        <w:gridCol w:w="419"/>
        <w:gridCol w:w="112"/>
        <w:gridCol w:w="147"/>
        <w:gridCol w:w="134"/>
        <w:gridCol w:w="800"/>
        <w:gridCol w:w="112"/>
        <w:gridCol w:w="147"/>
        <w:gridCol w:w="78"/>
        <w:gridCol w:w="467"/>
        <w:gridCol w:w="112"/>
        <w:gridCol w:w="148"/>
        <w:gridCol w:w="89"/>
        <w:gridCol w:w="356"/>
        <w:gridCol w:w="112"/>
        <w:gridCol w:w="148"/>
        <w:gridCol w:w="304"/>
        <w:gridCol w:w="608"/>
        <w:gridCol w:w="112"/>
        <w:gridCol w:w="148"/>
        <w:gridCol w:w="69"/>
        <w:gridCol w:w="409"/>
        <w:gridCol w:w="112"/>
      </w:tblGrid>
      <w:tr w:rsidR="00000000">
        <w:trPr>
          <w:jc w:val="center"/>
        </w:trPr>
        <w:tc>
          <w:tcPr>
            <w:tcW w:w="30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Chile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Argentina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Brazil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Peru</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Colombia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Total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Department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rPr>
        <w:t xml:space="preserve">In summary, highlights of our commercial activities up to March 31, 2012 include: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906 stores and shopping centers as of March 31, 2012, an increase of 113% compared to 425 stores and shopping centers as of January 1, 2005.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3.3 million square meters of selling space as of March </w:t>
            </w:r>
            <w:r>
              <w:rPr>
                <w:rFonts w:ascii="Arial" w:hAnsi="Arial" w:cs="Arial"/>
              </w:rPr>
              <w:t xml:space="preserve">31, 2012, an increase of 130% compared to 1.4 million square meters as of January 1, 2005.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More than 800 million people visited our stores and shopping centers in 2011, completing a total of 661 million transactions.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More than 450 thousand products offered through diversified business segments and 15 brand names present in five countries as of March 31, 2012.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total of 4.3 million credit cards issued and U.S.$1.53 billion in credit card operations as of </w:t>
            </w:r>
            <w:r>
              <w:rPr>
                <w:rFonts w:ascii="Arial" w:hAnsi="Arial" w:cs="Arial"/>
              </w:rPr>
              <w:t xml:space="preserve">December 31, 2011. </w:t>
            </w:r>
          </w:p>
        </w:tc>
      </w:tr>
    </w:tbl>
    <w:p w:rsidR="00000000" w:rsidRDefault="003E5AFF">
      <w:pPr>
        <w:pStyle w:val="NormalWeb"/>
        <w:spacing w:before="120" w:beforeAutospacing="0" w:after="0" w:afterAutospacing="0"/>
      </w:pPr>
      <w:r>
        <w:rPr>
          <w:rFonts w:ascii="Arial" w:hAnsi="Arial" w:cs="Arial"/>
        </w:rPr>
        <w:t xml:space="preserve">The following table indicates the percentages of revenues from ordinary activities, gross margin and Adjusted EBITDA, as defined below, that each of our geographical markets represented, for the period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268"/>
        <w:gridCol w:w="172"/>
        <w:gridCol w:w="56"/>
        <w:gridCol w:w="568"/>
        <w:gridCol w:w="112"/>
        <w:gridCol w:w="172"/>
        <w:gridCol w:w="84"/>
        <w:gridCol w:w="850"/>
        <w:gridCol w:w="112"/>
        <w:gridCol w:w="172"/>
        <w:gridCol w:w="56"/>
        <w:gridCol w:w="568"/>
        <w:gridCol w:w="112"/>
        <w:gridCol w:w="172"/>
        <w:gridCol w:w="56"/>
        <w:gridCol w:w="456"/>
        <w:gridCol w:w="112"/>
        <w:gridCol w:w="173"/>
        <w:gridCol w:w="88"/>
        <w:gridCol w:w="824"/>
        <w:gridCol w:w="123"/>
      </w:tblGrid>
      <w:tr w:rsidR="00000000">
        <w:trPr>
          <w:jc w:val="center"/>
        </w:trPr>
        <w:tc>
          <w:tcPr>
            <w:tcW w:w="28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Brazil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Gross margin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Adjusted EBITDA(1)</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- 167 - </w:t>
      </w:r>
    </w:p>
    <w:p w:rsidR="00000000" w:rsidRDefault="003E5AFF">
      <w:pPr>
        <w:rPr>
          <w:rFonts w:eastAsia="Times New Roman" w:cs="Times New Roman"/>
        </w:rPr>
      </w:pPr>
      <w:r>
        <w:rPr>
          <w:rFonts w:eastAsia="Times New Roman" w:cs="Times New Roman"/>
        </w:rPr>
        <w:pict>
          <v:rect id="_x0000_i1202" style="width:441.9pt;height:3pt" o:hralign="center" o:hrstd="t" o:hrnoshade="t" o:hr="t" fillcolor="#999" stroked="f"/>
        </w:pict>
      </w:r>
    </w:p>
    <w:p w:rsidR="00000000" w:rsidRDefault="003E5AFF">
      <w:pPr>
        <w:pStyle w:val="Heading5"/>
        <w:rPr>
          <w:rFonts w:eastAsia="Times New Roman" w:cs="Times New Roman"/>
        </w:rPr>
      </w:pPr>
      <w:hyperlink r:id="rId21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The following tables sets forth key financial and operating data for each of our principal segments: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383"/>
        <w:gridCol w:w="137"/>
        <w:gridCol w:w="63"/>
        <w:gridCol w:w="993"/>
        <w:gridCol w:w="136"/>
        <w:gridCol w:w="342"/>
        <w:gridCol w:w="56"/>
        <w:gridCol w:w="890"/>
        <w:gridCol w:w="112"/>
        <w:gridCol w:w="136"/>
        <w:gridCol w:w="56"/>
        <w:gridCol w:w="890"/>
        <w:gridCol w:w="112"/>
      </w:tblGrid>
      <w:tr w:rsidR="00000000">
        <w:trPr>
          <w:jc w:val="center"/>
        </w:trPr>
        <w:tc>
          <w:tcPr>
            <w:tcW w:w="32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(unaudited)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3,315.08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1,615,903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1,268,227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813.91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396,732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311,397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193.86</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94,494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82,705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1,672,828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1,672,828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1,516,258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tcBorders>
              <w:right w:val="single" w:sz="6" w:space="0" w:color="000000"/>
            </w:tcBorders>
            <w:shd w:val="clear" w:color="auto" w:fill="CCEEFF"/>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532.00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259,320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227,174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166.99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81,398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51.31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22,063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704,457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704,457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672,831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tcBorders>
              <w:right w:val="single" w:sz="6" w:space="0" w:color="000000"/>
            </w:tcBorders>
            <w:shd w:val="clear" w:color="auto" w:fill="CCEEFF"/>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378.47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184,480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143,612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97.29</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47,423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39,565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358,837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358,837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237,627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tcBorders>
              <w:right w:val="single" w:sz="6" w:space="0" w:color="000000"/>
            </w:tcBorders>
            <w:shd w:val="clear" w:color="auto" w:fill="CCEEFF"/>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67.31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32,812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29,558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56.85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44.45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21,274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leasable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566,442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566,442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553,239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Financial Services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tcBorders>
              <w:right w:val="single" w:sz="6" w:space="0" w:color="000000"/>
            </w:tcBorders>
            <w:shd w:val="clear" w:color="auto" w:fill="CCEEFF"/>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148.63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72,450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65,969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94.35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45,990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51,466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49.28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24,021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29,876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Excluding number of stores and shopping centers, total selling space and gross leasable area.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- 168 - </w:t>
      </w:r>
    </w:p>
    <w:p w:rsidR="00000000" w:rsidRDefault="003E5AFF">
      <w:pPr>
        <w:rPr>
          <w:rFonts w:eastAsia="Times New Roman" w:cs="Times New Roman"/>
        </w:rPr>
      </w:pPr>
      <w:r>
        <w:rPr>
          <w:rFonts w:eastAsia="Times New Roman" w:cs="Times New Roman"/>
        </w:rPr>
        <w:pict>
          <v:rect id="_x0000_i1203" style="width:441.9pt;height:3pt" o:hralign="center" o:hrstd="t" o:hrnoshade="t" o:hr="t" fillcolor="#999" stroked="f"/>
        </w:pict>
      </w:r>
    </w:p>
    <w:p w:rsidR="00000000" w:rsidRDefault="003E5AFF">
      <w:pPr>
        <w:pStyle w:val="Heading5"/>
        <w:rPr>
          <w:rFonts w:eastAsia="Times New Roman" w:cs="Times New Roman"/>
        </w:rPr>
      </w:pPr>
      <w:hyperlink r:id="rId220" w:anchor="toc" w:history="1">
        <w:r>
          <w:rPr>
            <w:rStyle w:val="Hyperlink"/>
            <w:rFonts w:eastAsia="Times New Roman" w:cs="Times New Roman"/>
          </w:rPr>
          <w:t>Table of Contents</w:t>
        </w:r>
      </w:hyperlink>
    </w:p>
    <w:tbl>
      <w:tblPr>
        <w:tblW w:w="5000" w:type="pct"/>
        <w:jc w:val="center"/>
        <w:tblCellMar>
          <w:left w:w="0" w:type="dxa"/>
          <w:right w:w="0" w:type="dxa"/>
        </w:tblCellMar>
        <w:tblLook w:val="04A0" w:firstRow="1" w:lastRow="0" w:firstColumn="1" w:lastColumn="0" w:noHBand="0" w:noVBand="1"/>
      </w:tblPr>
      <w:tblGrid>
        <w:gridCol w:w="1338"/>
        <w:gridCol w:w="294"/>
        <w:gridCol w:w="501"/>
        <w:gridCol w:w="890"/>
        <w:gridCol w:w="294"/>
        <w:gridCol w:w="294"/>
        <w:gridCol w:w="367"/>
        <w:gridCol w:w="890"/>
        <w:gridCol w:w="112"/>
        <w:gridCol w:w="294"/>
        <w:gridCol w:w="367"/>
        <w:gridCol w:w="890"/>
        <w:gridCol w:w="112"/>
        <w:gridCol w:w="294"/>
        <w:gridCol w:w="367"/>
        <w:gridCol w:w="890"/>
        <w:gridCol w:w="112"/>
      </w:tblGrid>
      <w:tr w:rsidR="00000000">
        <w:trPr>
          <w:jc w:val="center"/>
        </w:trPr>
        <w:tc>
          <w:tcPr>
            <w:tcW w:w="2050" w:type="pct"/>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(in millions</w:t>
            </w:r>
            <w:r>
              <w:rPr>
                <w:rFonts w:ascii="Arial" w:eastAsia="Times New Roman" w:hAnsi="Arial" w:cs="Arial"/>
                <w:b/>
                <w:bCs/>
              </w:rPr>
              <w:br/>
              <w:t>of U.S.$)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11,398.88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5,556,271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4,452,759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4,006,366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2,828.26</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1,378,607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1,096,963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951,883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771.71</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376,164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307,711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252,843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684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1,591,332</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1,591,332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1,404,631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1,156,607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Home improvement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1,946.17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948,641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819,838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671,517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618.13</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301,303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258,832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201,351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171.90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83,792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69,787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48,945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703,170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703,170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700,579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618,456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1,417.14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690,772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622,719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516,537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392.58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191,359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175,950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135,968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96.40</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46,990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40,795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11,390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272,388</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272,388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234,489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217,698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266.14</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129,727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116,991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108,168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226.24</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99,133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85,759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205.03</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99,937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89,076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77,360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leasable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564,839</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564,839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542,735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516,410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tcBorders>
              <w:right w:val="single" w:sz="6" w:space="0" w:color="000000"/>
            </w:tcBorders>
            <w:vAlign w:val="center"/>
            <w:hideMark/>
          </w:tcPr>
          <w:p w:rsidR="00000000" w:rsidRDefault="003E5AFF">
            <w:pPr>
              <w:spacing w:line="100" w:lineRule="atLeast"/>
              <w:rPr>
                <w:rFonts w:eastAsia="Times New Roman" w:cs="Times New Roman"/>
              </w:rPr>
            </w:pPr>
            <w:r>
              <w:rPr>
                <w:rFonts w:eastAsia="Times New Roman" w:cs="Times New Roman"/>
              </w:rPr>
              <w:t> </w:t>
            </w: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Financial services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549.55</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267,874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221,010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261,257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shd w:val="clear" w:color="auto" w:fill="CCEEFF"/>
            <w:noWrap/>
            <w:vAlign w:val="bottom"/>
            <w:hideMark/>
          </w:tcPr>
          <w:p w:rsidR="00000000" w:rsidRDefault="003E5AFF">
            <w:pPr>
              <w:jc w:val="right"/>
              <w:rPr>
                <w:rFonts w:eastAsia="Times New Roman" w:cs="Times New Roman"/>
              </w:rPr>
            </w:pPr>
            <w:r>
              <w:rPr>
                <w:rFonts w:ascii="Arial" w:eastAsia="Times New Roman" w:hAnsi="Arial" w:cs="Arial"/>
              </w:rPr>
              <w:t>373.88</w:t>
            </w:r>
          </w:p>
        </w:tc>
        <w:tc>
          <w:tcPr>
            <w:tcW w:w="0" w:type="auto"/>
            <w:tcBorders>
              <w:right w:val="single" w:sz="6" w:space="0" w:color="000000"/>
            </w:tcBorders>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182,242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150,552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132,348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noWrap/>
            <w:vAlign w:val="bottom"/>
            <w:hideMark/>
          </w:tcPr>
          <w:p w:rsidR="00000000" w:rsidRDefault="003E5AFF">
            <w:pPr>
              <w:rPr>
                <w:rFonts w:eastAsia="Times New Roman" w:cs="Times New Roman"/>
              </w:rPr>
            </w:pPr>
            <w:r>
              <w:rPr>
                <w:rFonts w:ascii="Arial" w:eastAsia="Times New Roman" w:hAnsi="Arial" w:cs="Arial"/>
              </w:rPr>
              <w:t>U.S.$</w:t>
            </w:r>
          </w:p>
        </w:tc>
        <w:tc>
          <w:tcPr>
            <w:tcW w:w="0" w:type="auto"/>
            <w:noWrap/>
            <w:vAlign w:val="bottom"/>
            <w:hideMark/>
          </w:tcPr>
          <w:p w:rsidR="00000000" w:rsidRDefault="003E5AFF">
            <w:pPr>
              <w:jc w:val="right"/>
              <w:rPr>
                <w:rFonts w:eastAsia="Times New Roman" w:cs="Times New Roman"/>
              </w:rPr>
            </w:pPr>
            <w:r>
              <w:rPr>
                <w:rFonts w:ascii="Arial" w:eastAsia="Times New Roman" w:hAnsi="Arial" w:cs="Arial"/>
              </w:rPr>
              <w:t>193.57</w:t>
            </w:r>
          </w:p>
        </w:tc>
        <w:tc>
          <w:tcPr>
            <w:tcW w:w="0" w:type="auto"/>
            <w:tcBorders>
              <w:right w:val="single" w:sz="6" w:space="0" w:color="000000"/>
            </w:tcBorders>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94,355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77,271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68,143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Excluding number of stores and shopping centers, total selling space and gross leasable area.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120" w:beforeAutospacing="0" w:after="0" w:afterAutospacing="0"/>
      </w:pPr>
      <w:r>
        <w:rPr>
          <w:rFonts w:ascii="Arial" w:hAnsi="Arial" w:cs="Arial"/>
        </w:rPr>
        <w:t xml:space="preserve">We </w:t>
      </w:r>
      <w:r>
        <w:rPr>
          <w:rFonts w:ascii="Arial" w:hAnsi="Arial" w:cs="Arial"/>
        </w:rPr>
        <w:t xml:space="preserve">are organized in six business segments: supermarkets, home improvement stores, department stores, shopping centers and financial services, plus complementary activities described as _Other._ </w:t>
      </w:r>
    </w:p>
    <w:p w:rsidR="00000000" w:rsidRDefault="003E5AFF">
      <w:pPr>
        <w:pStyle w:val="NormalWeb"/>
        <w:spacing w:before="120" w:beforeAutospacing="0" w:after="0" w:afterAutospacing="0"/>
      </w:pPr>
      <w:r>
        <w:rPr>
          <w:rFonts w:ascii="Arial" w:hAnsi="Arial" w:cs="Arial"/>
          <w:i/>
          <w:iCs/>
        </w:rPr>
        <w:t>Supermarkets</w:t>
      </w:r>
      <w:r>
        <w:rPr>
          <w:rFonts w:ascii="Arial" w:hAnsi="Arial" w:cs="Arial"/>
        </w:rPr>
        <w:t>.    We operate 726 supermarkets throughout Chile, A</w:t>
      </w:r>
      <w:r>
        <w:rPr>
          <w:rFonts w:ascii="Arial" w:hAnsi="Arial" w:cs="Arial"/>
        </w:rPr>
        <w:t xml:space="preserve">rgentina, Brazil and Peru, as of March 31, 2012, selling a wide variety of name brand and private label products. We believe that we are the second-largest supermarket operator in both Chile and Argentina, in terms of revenues based on comparisons against </w:t>
      </w:r>
      <w:r>
        <w:rPr>
          <w:rFonts w:ascii="Arial" w:hAnsi="Arial" w:cs="Arial"/>
        </w:rPr>
        <w:t>publically filed information for each of our main competitors as of December 31, 2011, and in Argentina, based also on information provided by third-party market researcher, Planet Retail. We pioneered the hypermarket format in Chile with the opening of ou</w:t>
      </w:r>
      <w:r>
        <w:rPr>
          <w:rFonts w:ascii="Arial" w:hAnsi="Arial" w:cs="Arial"/>
        </w:rPr>
        <w:t xml:space="preserve">r first Jumbo hypermarket in 1976. Since then, we have expanded and grown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- 169 - </w:t>
      </w:r>
    </w:p>
    <w:p w:rsidR="00000000" w:rsidRDefault="003E5AFF">
      <w:pPr>
        <w:rPr>
          <w:rFonts w:eastAsia="Times New Roman" w:cs="Times New Roman"/>
        </w:rPr>
      </w:pPr>
      <w:r>
        <w:rPr>
          <w:rFonts w:eastAsia="Times New Roman" w:cs="Times New Roman"/>
        </w:rPr>
        <w:pict>
          <v:rect id="_x0000_i1204" style="width:441.9pt;height:3pt" o:hralign="center" o:hrstd="t" o:hrnoshade="t" o:hr="t" fillcolor="#999" stroked="f"/>
        </w:pict>
      </w:r>
    </w:p>
    <w:p w:rsidR="00000000" w:rsidRDefault="003E5AFF">
      <w:pPr>
        <w:pStyle w:val="Heading5"/>
        <w:rPr>
          <w:rFonts w:eastAsia="Times New Roman" w:cs="Times New Roman"/>
        </w:rPr>
      </w:pPr>
      <w:hyperlink r:id="rId22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our supermarkets division, and as of March 31, 2012 we owned a total of 32 Jumbo hypermarkets and 1</w:t>
      </w:r>
      <w:r>
        <w:rPr>
          <w:rFonts w:ascii="Arial" w:hAnsi="Arial" w:cs="Arial"/>
        </w:rPr>
        <w:t xml:space="preserve">59 Santa Isabel supermarkets in Chile. We operate 22 Jumbo hypermarkets and 250 Disco and Super Vea supermarkets in Argentina, as of March 31, 2012. In Brazil, as a result of recent acquisitions, we are now the fourth-largest supermarket operator in terms </w:t>
      </w:r>
      <w:r>
        <w:rPr>
          <w:rFonts w:ascii="Arial" w:hAnsi="Arial" w:cs="Arial"/>
        </w:rPr>
        <w:t>of revenues, according to the Associa?_o Brasileira de Supermercados (the Brazilian Association of Supermarkets, or _ABRAS_). We believe we are the largest operator in the state of Minas Gerais, the second-largest in the northeast of Brazil, and we estimat</w:t>
      </w:r>
      <w:r>
        <w:rPr>
          <w:rFonts w:ascii="Arial" w:hAnsi="Arial" w:cs="Arial"/>
        </w:rPr>
        <w:t>e we are the third-largest in the state of Rio de Janeiro (after the acquisition of Prezunic Comercial Ltda. (_Prezunic) in January 2012), all in terms of sales. Recently, in October 2011, we acquired the Cardoso supermarket chain (_Cardoso_) of three stor</w:t>
      </w:r>
      <w:r>
        <w:rPr>
          <w:rFonts w:ascii="Arial" w:hAnsi="Arial" w:cs="Arial"/>
        </w:rPr>
        <w:t>es in the state of Bahia and in January 2012 we acquired Prezunic, the operator of a supermarket chain of 31 stores in the state of Rio de Janeiro, in Brazil, thus further expanding our presence in the Brazilian market. According to Apoyo y Asociados (_Apo</w:t>
      </w:r>
      <w:r>
        <w:rPr>
          <w:rFonts w:ascii="Arial" w:hAnsi="Arial" w:cs="Arial"/>
        </w:rPr>
        <w:t xml:space="preserve">yo_), a Peruvian rating agency associated with Fitch, Inc., we are the largest supermarket operator in Peru in terms of sales, with 74 stores as of December 31, 2011. </w:t>
      </w:r>
    </w:p>
    <w:p w:rsidR="00000000" w:rsidRDefault="003E5AFF">
      <w:pPr>
        <w:pStyle w:val="NormalWeb"/>
        <w:spacing w:before="120" w:beforeAutospacing="0" w:after="0" w:afterAutospacing="0"/>
      </w:pPr>
      <w:r>
        <w:rPr>
          <w:rFonts w:ascii="Arial" w:hAnsi="Arial" w:cs="Arial"/>
          <w:i/>
          <w:iCs/>
        </w:rPr>
        <w:t>Home improvement stores</w:t>
      </w:r>
      <w:r>
        <w:rPr>
          <w:rFonts w:ascii="Arial" w:hAnsi="Arial" w:cs="Arial"/>
        </w:rPr>
        <w:t xml:space="preserve">.    We believe we are the second-largest home improvement store </w:t>
      </w:r>
      <w:r>
        <w:rPr>
          <w:rFonts w:ascii="Arial" w:hAnsi="Arial" w:cs="Arial"/>
        </w:rPr>
        <w:t>operator in Chile and the largest in Argentina in terms of revenues based on our comparisons against information from public filings of our main competitors as of December 31, 2011. We sell a wide variety of building and other materials, including name bra</w:t>
      </w:r>
      <w:r>
        <w:rPr>
          <w:rFonts w:ascii="Arial" w:hAnsi="Arial" w:cs="Arial"/>
        </w:rPr>
        <w:t>nd and private label products. As of March 31, 2012, we have 29 Easy home improvement stores and 276,325 square meters of home improvement store selling space in Chile and 48 Easy and Blaisten home improvement stores and 392,772 square meters of home impro</w:t>
      </w:r>
      <w:r>
        <w:rPr>
          <w:rFonts w:ascii="Arial" w:hAnsi="Arial" w:cs="Arial"/>
        </w:rPr>
        <w:t xml:space="preserve">vement store selling space in Argentina. In October 2008, we opened the first home improvement store in Colombia and as of March 31, 2012 we have four Easy home improvement stores and 35,360 square meters of selling space in Colombia. </w:t>
      </w:r>
    </w:p>
    <w:p w:rsidR="00000000" w:rsidRDefault="003E5AFF">
      <w:pPr>
        <w:pStyle w:val="NormalWeb"/>
        <w:spacing w:before="120" w:beforeAutospacing="0" w:after="0" w:afterAutospacing="0"/>
      </w:pPr>
      <w:r>
        <w:rPr>
          <w:rFonts w:ascii="Arial" w:hAnsi="Arial" w:cs="Arial"/>
          <w:i/>
          <w:iCs/>
        </w:rPr>
        <w:t>Department stores</w:t>
      </w:r>
      <w:r>
        <w:rPr>
          <w:rFonts w:ascii="Arial" w:hAnsi="Arial" w:cs="Arial"/>
        </w:rPr>
        <w:t>.  </w:t>
      </w:r>
      <w:r>
        <w:rPr>
          <w:rFonts w:ascii="Arial" w:hAnsi="Arial" w:cs="Arial"/>
        </w:rPr>
        <w:t>  We believe that we are the second-largest department store operator in Chile, in terms of revenues based on our comparison against information from public filings of our main competitors as of December 31, 2011. We also believe we have the largest sellin</w:t>
      </w:r>
      <w:r>
        <w:rPr>
          <w:rFonts w:ascii="Arial" w:hAnsi="Arial" w:cs="Arial"/>
        </w:rPr>
        <w:t>g space for department stores in Chile. We operate 35 Paris and 39 Johnson_s department stores in Chile with 358,837 square meters of total selling space as of December 31, 2011. Our Paris stores sell a wide variety of merchandise such as apparel, home fur</w:t>
      </w:r>
      <w:r>
        <w:rPr>
          <w:rFonts w:ascii="Arial" w:hAnsi="Arial" w:cs="Arial"/>
        </w:rPr>
        <w:t>nishings, electronics and sporting goods, including name brand and private label products. In December 2011, we acquired an 85.58% interest in Johnson_s S.A. (_Johnson_s_), a department store with 39 stores throughout Chile under the Johnson_s brand and an</w:t>
      </w:r>
      <w:r>
        <w:rPr>
          <w:rFonts w:ascii="Arial" w:hAnsi="Arial" w:cs="Arial"/>
        </w:rPr>
        <w:t xml:space="preserve"> additional 13 stores using the FES brand with a total of 117,569 square meters or an additional 44.3% of selling space over our existing Paris stores. </w:t>
      </w:r>
    </w:p>
    <w:p w:rsidR="00000000" w:rsidRDefault="003E5AFF">
      <w:pPr>
        <w:pStyle w:val="NormalWeb"/>
        <w:spacing w:before="120" w:beforeAutospacing="0" w:after="0" w:afterAutospacing="0"/>
      </w:pPr>
      <w:r>
        <w:rPr>
          <w:rFonts w:ascii="Arial" w:hAnsi="Arial" w:cs="Arial"/>
          <w:i/>
          <w:iCs/>
        </w:rPr>
        <w:t>Shopping centers</w:t>
      </w:r>
      <w:r>
        <w:rPr>
          <w:rFonts w:ascii="Arial" w:hAnsi="Arial" w:cs="Arial"/>
        </w:rPr>
        <w:t xml:space="preserve">.    We believe that we are the second-largest operator of shopping centers in each of </w:t>
      </w:r>
      <w:r>
        <w:rPr>
          <w:rFonts w:ascii="Arial" w:hAnsi="Arial" w:cs="Arial"/>
        </w:rPr>
        <w:t>Chile and Argentina, in terms of total leasable area based on our comparisons against information from public filings of our main competitors as of December 31, 2011. As of March 31, 2012, we own and manage nine shopping centers in Chile, 14 in Argentina a</w:t>
      </w:r>
      <w:r>
        <w:rPr>
          <w:rFonts w:ascii="Arial" w:hAnsi="Arial" w:cs="Arial"/>
        </w:rPr>
        <w:t>nd two in Peru with a total gross leasable area of 566,442 square meters. In Chile and Argentina, each of our shopping centers contains a Jumbo hypermarket, an Easy home improvement store and, in Chile, a Paris department store as well as other third-party</w:t>
      </w:r>
      <w:r>
        <w:rPr>
          <w:rFonts w:ascii="Arial" w:hAnsi="Arial" w:cs="Arial"/>
        </w:rPr>
        <w:t xml:space="preserve">-owned businesses intended to attract customers and enhance their overall shopping experience. </w:t>
      </w:r>
    </w:p>
    <w:p w:rsidR="00000000" w:rsidRDefault="003E5AFF">
      <w:pPr>
        <w:pStyle w:val="NormalWeb"/>
        <w:spacing w:before="120" w:beforeAutospacing="0" w:after="0" w:afterAutospacing="0"/>
      </w:pPr>
      <w:r>
        <w:rPr>
          <w:rFonts w:ascii="Arial" w:hAnsi="Arial" w:cs="Arial"/>
          <w:i/>
          <w:iCs/>
        </w:rPr>
        <w:t>Financial services</w:t>
      </w:r>
      <w:r>
        <w:rPr>
          <w:rFonts w:ascii="Arial" w:hAnsi="Arial" w:cs="Arial"/>
        </w:rPr>
        <w:t>.    We established our financial services division in 2003 when we launched our _Jumbo M_s_ credit card to facilitate in-store purchases and,</w:t>
      </w:r>
      <w:r>
        <w:rPr>
          <w:rFonts w:ascii="Arial" w:hAnsi="Arial" w:cs="Arial"/>
        </w:rPr>
        <w:t xml:space="preserve"> since then, have significantly increased our credit card operations in Chile, Argentina, Brazil and Peru. We have grown both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- 170 - </w:t>
      </w:r>
    </w:p>
    <w:p w:rsidR="00000000" w:rsidRDefault="003E5AFF">
      <w:pPr>
        <w:rPr>
          <w:rFonts w:eastAsia="Times New Roman" w:cs="Times New Roman"/>
        </w:rPr>
      </w:pPr>
      <w:r>
        <w:rPr>
          <w:rFonts w:eastAsia="Times New Roman" w:cs="Times New Roman"/>
        </w:rPr>
        <w:pict>
          <v:rect id="_x0000_i1205" style="width:441.9pt;height:3pt" o:hralign="center" o:hrstd="t" o:hrnoshade="t" o:hr="t" fillcolor="#999" stroked="f"/>
        </w:pict>
      </w:r>
    </w:p>
    <w:p w:rsidR="00000000" w:rsidRDefault="003E5AFF">
      <w:pPr>
        <w:pStyle w:val="Heading5"/>
        <w:rPr>
          <w:rFonts w:eastAsia="Times New Roman" w:cs="Times New Roman"/>
        </w:rPr>
      </w:pPr>
      <w:hyperlink r:id="rId222"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rPr>
        <w:t>through our own private-label cards and joint ventures with third party bank issuers of credit cards, primarily to finance customers_ purchases in our stores. We also own Banco Paris, a specialty retail consumer bank in Chile, which provides a wid</w:t>
      </w:r>
      <w:r>
        <w:rPr>
          <w:rFonts w:ascii="Arial" w:hAnsi="Arial" w:cs="Arial"/>
        </w:rPr>
        <w:t>e range of consumer and financial services. In August 2010, we launched our own private label credit card in Peru and we are expanding our offerings of financial services. In 2011, we established Banco Cencosud in Peru and are currently applying for the op</w:t>
      </w:r>
      <w:r>
        <w:rPr>
          <w:rFonts w:ascii="Arial" w:hAnsi="Arial" w:cs="Arial"/>
        </w:rPr>
        <w:t>eration license from the Peruvian financial services regulator (</w:t>
      </w:r>
      <w:r>
        <w:rPr>
          <w:rFonts w:ascii="Arial" w:hAnsi="Arial" w:cs="Arial"/>
          <w:i/>
          <w:iCs/>
        </w:rPr>
        <w:t>Superintendencia de Banca, Seguros y AFP</w:t>
      </w:r>
      <w:r>
        <w:rPr>
          <w:rFonts w:ascii="Arial" w:hAnsi="Arial" w:cs="Arial"/>
        </w:rPr>
        <w:t>, or _SBS_), and expect to start operations in the third quarter of 2012. Recently, we entered into an agreement with a major Brazilian bank, Banco Brad</w:t>
      </w:r>
      <w:r>
        <w:rPr>
          <w:rFonts w:ascii="Arial" w:hAnsi="Arial" w:cs="Arial"/>
        </w:rPr>
        <w:t>esco S.A. (_Banco Bradesco_), to offer financial services for all our stores in Brazil, namely the exclusive issuance and operation of the Cencosud Card credit card (</w:t>
      </w:r>
      <w:r>
        <w:rPr>
          <w:rFonts w:ascii="Arial" w:hAnsi="Arial" w:cs="Arial"/>
          <w:i/>
          <w:iCs/>
        </w:rPr>
        <w:t>Cart_o Cencosud</w:t>
      </w:r>
      <w:r>
        <w:rPr>
          <w:rFonts w:ascii="Arial" w:hAnsi="Arial" w:cs="Arial"/>
        </w:rPr>
        <w:t>), as well as the offer, within Cencosud stores in Brazil, of consumer loan</w:t>
      </w:r>
      <w:r>
        <w:rPr>
          <w:rFonts w:ascii="Arial" w:hAnsi="Arial" w:cs="Arial"/>
        </w:rPr>
        <w:t xml:space="preserve">s, purchase financing and insurance products. </w:t>
      </w:r>
    </w:p>
    <w:p w:rsidR="00000000" w:rsidRDefault="003E5AFF">
      <w:pPr>
        <w:pStyle w:val="NormalWeb"/>
        <w:spacing w:before="120" w:beforeAutospacing="0" w:after="0" w:afterAutospacing="0"/>
      </w:pPr>
      <w:r>
        <w:rPr>
          <w:rFonts w:ascii="Arial" w:hAnsi="Arial" w:cs="Arial"/>
        </w:rPr>
        <w:t>As of March 31, 2012, we had a total of 4.3 million credit card and other accounts in Chile, Argentina, Brazil and Peru. As of March 31, 2012, we also had U.S.$1.53 billion in customer loans outstanding. Our f</w:t>
      </w:r>
      <w:r>
        <w:rPr>
          <w:rFonts w:ascii="Arial" w:hAnsi="Arial" w:cs="Arial"/>
        </w:rPr>
        <w:t xml:space="preserve">inancial services segment also includes our insurance brokerage services in Argentina, Chile, Brazil and Peru. </w:t>
      </w:r>
    </w:p>
    <w:p w:rsidR="00000000" w:rsidRDefault="003E5AFF">
      <w:pPr>
        <w:pStyle w:val="NormalWeb"/>
        <w:spacing w:before="120" w:beforeAutospacing="0" w:after="0" w:afterAutospacing="0"/>
      </w:pPr>
      <w:r>
        <w:rPr>
          <w:rFonts w:ascii="Arial" w:hAnsi="Arial" w:cs="Arial"/>
          <w:i/>
          <w:iCs/>
        </w:rPr>
        <w:t>Other</w:t>
      </w:r>
      <w:r>
        <w:rPr>
          <w:rFonts w:ascii="Arial" w:hAnsi="Arial" w:cs="Arial"/>
        </w:rPr>
        <w:t>.    In our _other_ segment we include the results of our Chile-based Aventura entertainment centers, which offer families the ability to e</w:t>
      </w:r>
      <w:r>
        <w:rPr>
          <w:rFonts w:ascii="Arial" w:hAnsi="Arial" w:cs="Arial"/>
        </w:rPr>
        <w:t>njoy different entertainment activities, such as electronic games, bowling and birthday parties; our frequent purchaser loyalty programs, which provide discounts and other promotions for our customers; and our corporate back-office, treasury, trading and o</w:t>
      </w:r>
      <w:r>
        <w:rPr>
          <w:rFonts w:ascii="Arial" w:hAnsi="Arial" w:cs="Arial"/>
        </w:rPr>
        <w:t xml:space="preserve">ther operations. </w:t>
      </w:r>
    </w:p>
    <w:p w:rsidR="00000000" w:rsidRDefault="003E5AFF">
      <w:pPr>
        <w:pStyle w:val="NormalWeb"/>
        <w:spacing w:before="120" w:beforeAutospacing="0" w:after="0" w:afterAutospacing="0"/>
      </w:pPr>
      <w:r>
        <w:rPr>
          <w:rFonts w:ascii="Arial" w:hAnsi="Arial" w:cs="Arial"/>
        </w:rPr>
        <w:t>For the years ended December 31, 2011 and 2010, results from our _Other_ segment represented 0.2% and 0.1%, respectively, of our consolidated revenues, and for the three-month period ended March 31, 2012, our _other_ segment represented 0</w:t>
      </w:r>
      <w:r>
        <w:rPr>
          <w:rFonts w:ascii="Arial" w:hAnsi="Arial" w:cs="Arial"/>
        </w:rPr>
        <w:t xml:space="preserve">.2% of our consolidated revenues. </w:t>
      </w:r>
    </w:p>
    <w:p w:rsidR="00000000" w:rsidRDefault="003E5AFF">
      <w:pPr>
        <w:pStyle w:val="NormalWeb"/>
        <w:spacing w:before="120" w:beforeAutospacing="0" w:after="0" w:afterAutospacing="0"/>
      </w:pPr>
      <w:r>
        <w:rPr>
          <w:rFonts w:ascii="Arial" w:hAnsi="Arial" w:cs="Arial"/>
        </w:rPr>
        <w:t>See also, _Management_s Discussion and Analysis of Results of Operations_Trends and Factors Affecting Our Results of Operations_Impact of Acquisitions_ for additional details regarding our acquisition activities in recent</w:t>
      </w:r>
      <w:r>
        <w:rPr>
          <w:rFonts w:ascii="Arial" w:hAnsi="Arial" w:cs="Arial"/>
        </w:rPr>
        <w:t xml:space="preserve"> years.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67"/>
        <w:gridCol w:w="79"/>
        <w:gridCol w:w="120"/>
        <w:gridCol w:w="1214"/>
        <w:gridCol w:w="112"/>
        <w:gridCol w:w="79"/>
        <w:gridCol w:w="113"/>
        <w:gridCol w:w="1144"/>
        <w:gridCol w:w="112"/>
        <w:gridCol w:w="79"/>
        <w:gridCol w:w="122"/>
        <w:gridCol w:w="990"/>
        <w:gridCol w:w="112"/>
        <w:gridCol w:w="79"/>
        <w:gridCol w:w="83"/>
        <w:gridCol w:w="839"/>
        <w:gridCol w:w="112"/>
        <w:gridCol w:w="79"/>
        <w:gridCol w:w="78"/>
        <w:gridCol w:w="789"/>
        <w:gridCol w:w="112"/>
        <w:gridCol w:w="79"/>
        <w:gridCol w:w="56"/>
        <w:gridCol w:w="634"/>
        <w:gridCol w:w="123"/>
      </w:tblGrid>
      <w:tr w:rsidR="00000000">
        <w:trPr>
          <w:jc w:val="center"/>
        </w:trPr>
        <w:tc>
          <w:tcPr>
            <w:tcW w:w="175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 2012</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Home</w:t>
            </w:r>
            <w:r>
              <w:rPr>
                <w:rFonts w:ascii="Arial" w:eastAsia="Times New Roman" w:hAnsi="Arial" w:cs="Arial"/>
                <w:b/>
                <w:bCs/>
              </w:rPr>
              <w:br/>
              <w:t>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Department</w:t>
            </w:r>
            <w:r>
              <w:rPr>
                <w:rFonts w:ascii="Arial" w:eastAsia="Times New Roman" w:hAnsi="Arial" w:cs="Arial"/>
                <w:b/>
                <w:bCs/>
              </w:rPr>
              <w:br/>
              <w:t>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Shopping</w:t>
            </w:r>
            <w:r>
              <w:rPr>
                <w:rFonts w:ascii="Arial" w:eastAsia="Times New Roman" w:hAnsi="Arial" w:cs="Arial"/>
                <w:b/>
                <w:bCs/>
              </w:rPr>
              <w:br/>
              <w:t>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Financial</w:t>
            </w:r>
            <w:r>
              <w:rPr>
                <w:rFonts w:ascii="Arial" w:eastAsia="Times New Roman" w:hAnsi="Arial" w:cs="Arial"/>
                <w:b/>
                <w:bCs/>
              </w:rPr>
              <w:br/>
              <w:t>services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Other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Revenues from ordinary 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Gross margin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Adjusted EBITDA(1)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4"/>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_Business_Our Business_ for a description of our _Other_ segment.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240" w:beforeAutospacing="0" w:after="0" w:afterAutospacing="0"/>
      </w:pPr>
      <w:r>
        <w:rPr>
          <w:rFonts w:ascii="Arial" w:hAnsi="Arial" w:cs="Arial"/>
          <w:b/>
          <w:bCs/>
          <w:sz w:val="24"/>
          <w:szCs w:val="24"/>
        </w:rPr>
        <w:t xml:space="preserve">Our strengths </w:t>
      </w:r>
    </w:p>
    <w:p w:rsidR="00000000" w:rsidRDefault="003E5AFF">
      <w:pPr>
        <w:pStyle w:val="NormalWeb"/>
        <w:spacing w:before="120" w:beforeAutospacing="0" w:after="0" w:afterAutospacing="0"/>
      </w:pPr>
      <w:r>
        <w:rPr>
          <w:rFonts w:ascii="Arial" w:hAnsi="Arial" w:cs="Arial"/>
        </w:rPr>
        <w:t xml:space="preserve">We believe that our primary business strengths are the following: </w:t>
      </w:r>
    </w:p>
    <w:p w:rsidR="00000000" w:rsidRDefault="003E5AFF">
      <w:pPr>
        <w:pStyle w:val="NormalWeb"/>
        <w:spacing w:before="120" w:beforeAutospacing="0" w:after="0" w:afterAutospacing="0"/>
        <w:ind w:left="476"/>
      </w:pPr>
      <w:r>
        <w:rPr>
          <w:rFonts w:ascii="Arial" w:hAnsi="Arial" w:cs="Arial"/>
          <w:i/>
          <w:iCs/>
        </w:rPr>
        <w:t>Pan-regional market leader</w:t>
      </w:r>
      <w:r>
        <w:rPr>
          <w:rFonts w:ascii="Arial" w:hAnsi="Arial" w:cs="Arial"/>
        </w:rPr>
        <w:t>.    </w:t>
      </w:r>
      <w:r>
        <w:rPr>
          <w:rFonts w:ascii="Arial" w:hAnsi="Arial" w:cs="Arial"/>
        </w:rPr>
        <w:t>We believe we are a leadin</w:t>
      </w:r>
      <w:r>
        <w:rPr>
          <w:rFonts w:ascii="Arial" w:hAnsi="Arial" w:cs="Arial"/>
        </w:rPr>
        <w:t>g</w:t>
      </w:r>
      <w:r>
        <w:rPr>
          <w:rFonts w:ascii="Arial" w:hAnsi="Arial" w:cs="Arial"/>
        </w:rPr>
        <w:t xml:space="preserve"> multi-format retailer in South America, based on revenues, selling space, number of stores and gross leasable area based on our market position in the sectors and countries in which we operate. The ranking methodology we use to </w:t>
      </w:r>
      <w:r>
        <w:rPr>
          <w:rFonts w:ascii="Arial" w:hAnsi="Arial" w:cs="Arial"/>
        </w:rPr>
        <w:t xml:space="preserve">calculate our market position is summarized in _Industry Overview &amp; Competition_ in this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- 171 - </w:t>
      </w:r>
    </w:p>
    <w:p w:rsidR="00000000" w:rsidRDefault="003E5AFF">
      <w:pPr>
        <w:rPr>
          <w:rFonts w:eastAsia="Times New Roman" w:cs="Times New Roman"/>
        </w:rPr>
      </w:pPr>
      <w:r>
        <w:rPr>
          <w:rFonts w:eastAsia="Times New Roman" w:cs="Times New Roman"/>
        </w:rPr>
        <w:pict>
          <v:rect id="_x0000_i1206" style="width:441.9pt;height:3pt" o:hralign="center" o:hrstd="t" o:hrnoshade="t" o:hr="t" fillcolor="#999" stroked="f"/>
        </w:pict>
      </w:r>
    </w:p>
    <w:p w:rsidR="00000000" w:rsidRDefault="003E5AFF">
      <w:pPr>
        <w:pStyle w:val="Heading5"/>
        <w:rPr>
          <w:rFonts w:eastAsia="Times New Roman" w:cs="Times New Roman"/>
        </w:rPr>
      </w:pPr>
      <w:hyperlink r:id="rId22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ind w:left="476"/>
      </w:pPr>
      <w:r>
        <w:rPr>
          <w:rFonts w:ascii="Arial" w:hAnsi="Arial" w:cs="Arial"/>
        </w:rPr>
        <w:t>prospectus. Our operations cover the region_s largest markets in terms of population and GDP such as Chile, Argentina, Brazil, Peru and Colombia. We believe our presence in se</w:t>
      </w:r>
      <w:r>
        <w:rPr>
          <w:rFonts w:ascii="Arial" w:hAnsi="Arial" w:cs="Arial"/>
        </w:rPr>
        <w:t>veral markets reduces our dependence on any one market and helps mitigate the impact of any individual country_s economic cycle on our operations. The majority of our operations are concentrated in countries that are highly rated by major credit rating age</w:t>
      </w:r>
      <w:r>
        <w:rPr>
          <w:rFonts w:ascii="Arial" w:hAnsi="Arial" w:cs="Arial"/>
        </w:rPr>
        <w:t>ncies_Chile, Brazil, Peru and Colombia. These countries, in addition to Argentina, have experienced a strong macroeconomic recovery since 2009. Based on our current market share participation and our ability to successfully open and acquire stores in vario</w:t>
      </w:r>
      <w:r>
        <w:rPr>
          <w:rFonts w:ascii="Arial" w:hAnsi="Arial" w:cs="Arial"/>
        </w:rPr>
        <w:t xml:space="preserve">us countries, we believe we are well positioned to capitalize on their future growth potential. </w:t>
      </w:r>
    </w:p>
    <w:p w:rsidR="00000000" w:rsidRDefault="003E5AFF">
      <w:pPr>
        <w:pStyle w:val="NormalWeb"/>
        <w:spacing w:before="120" w:beforeAutospacing="0" w:after="0" w:afterAutospacing="0"/>
        <w:ind w:left="476"/>
      </w:pPr>
      <w:r>
        <w:rPr>
          <w:rFonts w:ascii="Arial" w:hAnsi="Arial" w:cs="Arial"/>
          <w:i/>
          <w:iCs/>
        </w:rPr>
        <w:t>We operate in a region with favorable demographics</w:t>
      </w:r>
      <w:r>
        <w:rPr>
          <w:rFonts w:ascii="Arial" w:hAnsi="Arial" w:cs="Arial"/>
        </w:rPr>
        <w:t>.    We benefit from South America_s growing populations and improving socio-economic conditions of the count</w:t>
      </w:r>
      <w:r>
        <w:rPr>
          <w:rFonts w:ascii="Arial" w:hAnsi="Arial" w:cs="Arial"/>
        </w:rPr>
        <w:t>ries where we operate. Based on data from the International Monetary Fund, we operate in a market of approximately 311 million people in 2011 with an expected annual growth rate of 1.0% from 2010 to 2015, compared to 1.0% for the United States and 0.2% for</w:t>
      </w:r>
      <w:r>
        <w:rPr>
          <w:rFonts w:ascii="Arial" w:hAnsi="Arial" w:cs="Arial"/>
        </w:rPr>
        <w:t xml:space="preserve"> Western Europe. Additionally, the sustained macroeconomic growth and increasing disposable income in these countries has resulted in an unprecedented shift in socio-economic classes and a significant reduction in poverty levels. According to </w:t>
      </w:r>
      <w:r>
        <w:rPr>
          <w:rFonts w:ascii="Arial" w:hAnsi="Arial" w:cs="Arial"/>
          <w:i/>
          <w:iCs/>
        </w:rPr>
        <w:t>La Encuesta d</w:t>
      </w:r>
      <w:r>
        <w:rPr>
          <w:rFonts w:ascii="Arial" w:hAnsi="Arial" w:cs="Arial"/>
          <w:i/>
          <w:iCs/>
        </w:rPr>
        <w:t>e Caracterizaci_n Socioecon_mica Nacional</w:t>
      </w:r>
      <w:r>
        <w:rPr>
          <w:rFonts w:ascii="Arial" w:hAnsi="Arial" w:cs="Arial"/>
        </w:rPr>
        <w:t xml:space="preserve"> (The National Socio-economic Survey for Chile, or _CASEN_), the percentage of people living below the poverty level in Chile has decreased from 39% in 1990 to 15% in 2009, and according to Euromonitor, Brazil has t</w:t>
      </w:r>
      <w:r>
        <w:rPr>
          <w:rFonts w:ascii="Arial" w:hAnsi="Arial" w:cs="Arial"/>
        </w:rPr>
        <w:t xml:space="preserve">he fifth largest middle-class globally, with 32.4 million households as of December 31, 2011. </w:t>
      </w:r>
    </w:p>
    <w:p w:rsidR="00000000" w:rsidRDefault="003E5AFF">
      <w:pPr>
        <w:pStyle w:val="NormalWeb"/>
        <w:spacing w:before="120" w:beforeAutospacing="0" w:after="0" w:afterAutospacing="0"/>
        <w:ind w:left="476"/>
      </w:pPr>
      <w:r>
        <w:rPr>
          <w:rFonts w:ascii="Arial" w:hAnsi="Arial" w:cs="Arial"/>
          <w:i/>
          <w:iCs/>
        </w:rPr>
        <w:t>Well-recognized brand portfolio</w:t>
      </w:r>
      <w:r>
        <w:rPr>
          <w:rFonts w:ascii="Arial" w:hAnsi="Arial" w:cs="Arial"/>
        </w:rPr>
        <w:t>.    We offer a wide variety of leading products with recognized brand names, such as Jumbo, Paris, Easy, Gbarbosa, Bretas, Prezun</w:t>
      </w:r>
      <w:r>
        <w:rPr>
          <w:rFonts w:ascii="Arial" w:hAnsi="Arial" w:cs="Arial"/>
        </w:rPr>
        <w:t>ic, Wong, Metro and Disco, which are associated with diverse consumption patterns, convenience, personalized customer service, broad product assortment and affordable prices. Our well-known brand names, supported by in-store and out-of-store advertising, h</w:t>
      </w:r>
      <w:r>
        <w:rPr>
          <w:rFonts w:ascii="Arial" w:hAnsi="Arial" w:cs="Arial"/>
        </w:rPr>
        <w:t xml:space="preserve">ave enabled us to reach a wide range of consumer segments. </w:t>
      </w:r>
    </w:p>
    <w:p w:rsidR="00000000" w:rsidRDefault="003E5AFF">
      <w:pPr>
        <w:pStyle w:val="NormalWeb"/>
        <w:spacing w:before="120" w:beforeAutospacing="0" w:after="0" w:afterAutospacing="0"/>
        <w:ind w:left="476"/>
      </w:pPr>
      <w:r>
        <w:rPr>
          <w:rFonts w:ascii="Arial" w:hAnsi="Arial" w:cs="Arial"/>
          <w:i/>
          <w:iCs/>
        </w:rPr>
        <w:t>Integrated multi-format strategy</w:t>
      </w:r>
      <w:r>
        <w:rPr>
          <w:rFonts w:ascii="Arial" w:hAnsi="Arial" w:cs="Arial"/>
        </w:rPr>
        <w:t xml:space="preserve">.    Originally focused on supermarkets, our anchor format representing 74.5% of our sales as of March 31, 2012, we have developed a multi-format strategy that has </w:t>
      </w:r>
      <w:r>
        <w:rPr>
          <w:rFonts w:ascii="Arial" w:hAnsi="Arial" w:cs="Arial"/>
        </w:rPr>
        <w:t xml:space="preserve">allowed us to expand our customer reach by offering various combinations of product, price, quality and service according to our customer needs in each country and city where we operate. This strategy has been a key factor in achieving sustained operating </w:t>
      </w:r>
      <w:r>
        <w:rPr>
          <w:rFonts w:ascii="Arial" w:hAnsi="Arial" w:cs="Arial"/>
        </w:rPr>
        <w:t xml:space="preserve">and financial growth. Furthermore, our continuous efforts on maximizing operational efficiency across countries and retail segments has enabled us to maximize the synergistic potential of our operations and, at the same time, sustain our operating margins </w:t>
      </w:r>
      <w:r>
        <w:rPr>
          <w:rFonts w:ascii="Arial" w:hAnsi="Arial" w:cs="Arial"/>
        </w:rPr>
        <w:t xml:space="preserve">and generate strong cash flow generation. </w:t>
      </w:r>
    </w:p>
    <w:p w:rsidR="00000000" w:rsidRDefault="003E5AFF">
      <w:pPr>
        <w:pStyle w:val="NormalWeb"/>
        <w:spacing w:before="120" w:beforeAutospacing="0" w:after="0" w:afterAutospacing="0"/>
        <w:ind w:left="476"/>
      </w:pPr>
      <w:r>
        <w:rPr>
          <w:rFonts w:ascii="Arial" w:hAnsi="Arial" w:cs="Arial"/>
          <w:i/>
          <w:iCs/>
        </w:rPr>
        <w:t>Proven track record in successfully integrating acquisitions</w:t>
      </w:r>
      <w:r>
        <w:rPr>
          <w:rFonts w:ascii="Arial" w:hAnsi="Arial" w:cs="Arial"/>
        </w:rPr>
        <w:t xml:space="preserve">.    We have a proven track record of acquiring and </w:t>
      </w:r>
      <w:r>
        <w:rPr>
          <w:rFonts w:ascii="Arial" w:hAnsi="Arial" w:cs="Arial"/>
        </w:rPr>
        <w:t>successfully integrating companies into our regional platform. We typically keep the brand name, the key personnel and the local customs and traditions of acquired companies, and focus on (i) improving aspects which we believe can be upgraded, such as tech</w:t>
      </w:r>
      <w:r>
        <w:rPr>
          <w:rFonts w:ascii="Arial" w:hAnsi="Arial" w:cs="Arial"/>
        </w:rPr>
        <w:t xml:space="preserve">nology, operations management, and quality of service, and (ii) exploiting economies of scale and scope derived from integrating the newly acquired operations into the existing regional platform. During the last five years, we have made eight acquisitions </w:t>
      </w:r>
      <w:r>
        <w:rPr>
          <w:rFonts w:ascii="Arial" w:hAnsi="Arial" w:cs="Arial"/>
        </w:rPr>
        <w:t xml:space="preserve">for more than US$2.2 billion that have significantly increased the size and geographic footprint of our operations.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- 172 - </w:t>
      </w:r>
    </w:p>
    <w:p w:rsidR="00000000" w:rsidRDefault="003E5AFF">
      <w:pPr>
        <w:rPr>
          <w:rFonts w:eastAsia="Times New Roman" w:cs="Times New Roman"/>
        </w:rPr>
      </w:pPr>
      <w:r>
        <w:rPr>
          <w:rFonts w:eastAsia="Times New Roman" w:cs="Times New Roman"/>
        </w:rPr>
        <w:pict>
          <v:rect id="_x0000_i1207" style="width:441.9pt;height:3pt" o:hralign="center" o:hrstd="t" o:hrnoshade="t" o:hr="t" fillcolor="#999" stroked="f"/>
        </w:pict>
      </w:r>
    </w:p>
    <w:p w:rsidR="00000000" w:rsidRDefault="003E5AFF">
      <w:pPr>
        <w:pStyle w:val="Heading5"/>
        <w:rPr>
          <w:rFonts w:eastAsia="Times New Roman" w:cs="Times New Roman"/>
        </w:rPr>
      </w:pPr>
      <w:hyperlink r:id="rId22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ind w:left="476"/>
      </w:pPr>
      <w:r>
        <w:rPr>
          <w:rFonts w:ascii="Arial" w:hAnsi="Arial" w:cs="Arial"/>
          <w:i/>
          <w:iCs/>
        </w:rPr>
        <w:t>Experienced management team and lead shareholder</w:t>
      </w:r>
      <w:r>
        <w:rPr>
          <w:rFonts w:ascii="Arial" w:hAnsi="Arial" w:cs="Arial"/>
        </w:rPr>
        <w:t>.    </w:t>
      </w:r>
      <w:r>
        <w:rPr>
          <w:rFonts w:ascii="Arial" w:hAnsi="Arial" w:cs="Arial"/>
        </w:rPr>
        <w:t>Our senior management team is led by Mr. Horst Paulmann Kemna, our Chairman of the Board, founder and Controlling Shareholder, who has been with Cencosud for more than 35 years, and Mr. Daniel Rodr_guez, our Chief Executive Officer. The experience and comm</w:t>
      </w:r>
      <w:r>
        <w:rPr>
          <w:rFonts w:ascii="Arial" w:hAnsi="Arial" w:cs="Arial"/>
        </w:rPr>
        <w:t xml:space="preserve">itment of our senior management team has been a critical component in the international growth of our operations as well as the continuing enhancement of our operational and financial performance. </w:t>
      </w:r>
    </w:p>
    <w:p w:rsidR="00000000" w:rsidRDefault="003E5AFF">
      <w:pPr>
        <w:pStyle w:val="NormalWeb"/>
        <w:spacing w:before="240" w:beforeAutospacing="0" w:after="0" w:afterAutospacing="0"/>
      </w:pPr>
      <w:r>
        <w:rPr>
          <w:rFonts w:ascii="Arial" w:hAnsi="Arial" w:cs="Arial"/>
          <w:b/>
          <w:bCs/>
          <w:sz w:val="24"/>
          <w:szCs w:val="24"/>
        </w:rPr>
        <w:t xml:space="preserve">Our history </w:t>
      </w:r>
    </w:p>
    <w:p w:rsidR="00000000" w:rsidRDefault="003E5AFF">
      <w:pPr>
        <w:pStyle w:val="NormalWeb"/>
        <w:spacing w:before="120" w:beforeAutospacing="0" w:after="0" w:afterAutospacing="0"/>
      </w:pPr>
      <w:r>
        <w:rPr>
          <w:rFonts w:ascii="Arial" w:hAnsi="Arial" w:cs="Arial"/>
        </w:rPr>
        <w:t>Our history has been one demonstrating organi</w:t>
      </w:r>
      <w:r>
        <w:rPr>
          <w:rFonts w:ascii="Arial" w:hAnsi="Arial" w:cs="Arial"/>
        </w:rPr>
        <w:t xml:space="preserve">c growth as well as significant, ongoing acquisitions designed to enhance our footprint in the industries in which we operate and increase our market share and brand recognition. </w:t>
      </w:r>
    </w:p>
    <w:p w:rsidR="00000000" w:rsidRDefault="003E5AFF">
      <w:pPr>
        <w:pStyle w:val="NormalWeb"/>
        <w:spacing w:before="240" w:beforeAutospacing="0" w:after="0" w:afterAutospacing="0"/>
      </w:pPr>
      <w:r>
        <w:rPr>
          <w:rFonts w:ascii="Arial" w:hAnsi="Arial" w:cs="Arial"/>
          <w:b/>
          <w:bCs/>
          <w:i/>
          <w:iCs/>
        </w:rPr>
        <w:t xml:space="preserve">1960_2001 </w:t>
      </w:r>
    </w:p>
    <w:p w:rsidR="00000000" w:rsidRDefault="003E5AFF">
      <w:pPr>
        <w:pStyle w:val="NormalWeb"/>
        <w:spacing w:before="120" w:beforeAutospacing="0" w:after="0" w:afterAutospacing="0"/>
      </w:pPr>
      <w:r>
        <w:rPr>
          <w:rFonts w:ascii="Arial" w:hAnsi="Arial" w:cs="Arial"/>
        </w:rPr>
        <w:t>We trace our origins to the opening in 1960 of our first supermar</w:t>
      </w:r>
      <w:r>
        <w:rPr>
          <w:rFonts w:ascii="Arial" w:hAnsi="Arial" w:cs="Arial"/>
        </w:rPr>
        <w:t xml:space="preserve">ket, with a selling area of 160 square meters, in Temuco, Chile. In the mid-1970s, we expanded our business by opening the first Jumbo hypermarket in Chile, with a selling space of 7,000 square meters, located on Kennedy Avenue in Santiago. </w:t>
      </w:r>
    </w:p>
    <w:p w:rsidR="00000000" w:rsidRDefault="003E5AFF">
      <w:pPr>
        <w:pStyle w:val="NormalWeb"/>
        <w:spacing w:before="120" w:beforeAutospacing="0" w:after="0" w:afterAutospacing="0"/>
      </w:pPr>
      <w:r>
        <w:rPr>
          <w:rFonts w:ascii="Arial" w:hAnsi="Arial" w:cs="Arial"/>
        </w:rPr>
        <w:t>In 1982, we be</w:t>
      </w:r>
      <w:r>
        <w:rPr>
          <w:rFonts w:ascii="Arial" w:hAnsi="Arial" w:cs="Arial"/>
        </w:rPr>
        <w:t>gan our operations in Argentina with the opening of Argentina_s first Jumbo hypermarket which had a selling space of 9,282 square meters. We continued to expand in Argentina with the construction of Unicenter in 1988, Argentina_s largest shopping center wh</w:t>
      </w:r>
      <w:r>
        <w:rPr>
          <w:rFonts w:ascii="Arial" w:hAnsi="Arial" w:cs="Arial"/>
        </w:rPr>
        <w:t>ich today has a selling space of 91,771 square meters. In 1993, we opened Lomas Center, the first shopping center in the south of the Buenos Aires metropolitan area. In 1994, we opened San Martin Factory (an outlet shopping center). In 1996, we opened Pale</w:t>
      </w:r>
      <w:r>
        <w:rPr>
          <w:rFonts w:ascii="Arial" w:hAnsi="Arial" w:cs="Arial"/>
        </w:rPr>
        <w:t xml:space="preserve">rmo shopping center in Buenos Aires. Between 1997 and 2003, we opened Quilmes Factory (an outlet shopping center), Palmas de Pilar and El Portal de Escobar, all of which are located in Greater Buenos Aires. </w:t>
      </w:r>
    </w:p>
    <w:p w:rsidR="00000000" w:rsidRDefault="003E5AFF">
      <w:pPr>
        <w:pStyle w:val="NormalWeb"/>
        <w:spacing w:before="120" w:beforeAutospacing="0" w:after="0" w:afterAutospacing="0"/>
      </w:pPr>
      <w:r>
        <w:rPr>
          <w:rFonts w:ascii="Arial" w:hAnsi="Arial" w:cs="Arial"/>
        </w:rPr>
        <w:t>In 1993, we expanded our shopping center busines</w:t>
      </w:r>
      <w:r>
        <w:rPr>
          <w:rFonts w:ascii="Arial" w:hAnsi="Arial" w:cs="Arial"/>
        </w:rPr>
        <w:t>s in Chile by opening Alto Las Condes, at that time Chile_s most modern shopping center with a selling space of 115,258 square meters. In the same year, we expanded our line of business by opening Easy home improvement stores in Chile and Argentina which o</w:t>
      </w:r>
      <w:r>
        <w:rPr>
          <w:rFonts w:ascii="Arial" w:hAnsi="Arial" w:cs="Arial"/>
        </w:rPr>
        <w:t>ffer products required to improve and maintain a home, as well as construction materials and design and decoration products. That year, we opened our first Easy home improvement stores in the Alto Las Condes shopping center in Chile and in the Parque Brown</w:t>
      </w:r>
      <w:r>
        <w:rPr>
          <w:rFonts w:ascii="Arial" w:hAnsi="Arial" w:cs="Arial"/>
        </w:rPr>
        <w:t xml:space="preserve"> Factory shopping center in Argentina. </w:t>
      </w:r>
    </w:p>
    <w:p w:rsidR="00000000" w:rsidRDefault="003E5AFF">
      <w:pPr>
        <w:pStyle w:val="NormalWeb"/>
        <w:spacing w:before="240" w:beforeAutospacing="0" w:after="0" w:afterAutospacing="0"/>
      </w:pPr>
      <w:r>
        <w:rPr>
          <w:rFonts w:ascii="Arial" w:hAnsi="Arial" w:cs="Arial"/>
          <w:b/>
          <w:bCs/>
          <w:i/>
          <w:iCs/>
        </w:rPr>
        <w:t xml:space="preserve">2002_2006 </w:t>
      </w:r>
    </w:p>
    <w:p w:rsidR="00000000" w:rsidRDefault="003E5AFF">
      <w:pPr>
        <w:pStyle w:val="NormalWeb"/>
        <w:spacing w:before="120" w:beforeAutospacing="0" w:after="0" w:afterAutospacing="0"/>
      </w:pPr>
      <w:r>
        <w:rPr>
          <w:rFonts w:ascii="Arial" w:hAnsi="Arial" w:cs="Arial"/>
        </w:rPr>
        <w:t>In 2002, we continued our expansion in Chile by opening three new Jumbo hypermarkets, four new Easy home improvement stores and the Portal La Reina shopping center. In November 2002, we significantly expan</w:t>
      </w:r>
      <w:r>
        <w:rPr>
          <w:rFonts w:ascii="Arial" w:hAnsi="Arial" w:cs="Arial"/>
        </w:rPr>
        <w:t>ded our presence in the Chilean home improvement sector through the acquisition of Proterra, a small chain of do-it-yourself stores in southern Chile, and converted its seven stores to our Easy home improvement stores. In 2002, we believe, through the acqu</w:t>
      </w:r>
      <w:r>
        <w:rPr>
          <w:rFonts w:ascii="Arial" w:hAnsi="Arial" w:cs="Arial"/>
        </w:rPr>
        <w:t xml:space="preserve">isition of the operations of Home Depot (Argentina), we have the leading market position, based on revenues and selling space, in the Argentine home improvement sector. </w:t>
      </w:r>
    </w:p>
    <w:p w:rsidR="00000000" w:rsidRDefault="003E5AFF">
      <w:pPr>
        <w:pStyle w:val="NormalWeb"/>
        <w:spacing w:before="120" w:beforeAutospacing="0" w:after="0" w:afterAutospacing="0"/>
      </w:pPr>
      <w:r>
        <w:rPr>
          <w:rFonts w:ascii="Arial" w:hAnsi="Arial" w:cs="Arial"/>
        </w:rPr>
        <w:t>In 2003, we acquired the supermarket chain Santa Isabel making us the second-largest s</w:t>
      </w:r>
      <w:r>
        <w:rPr>
          <w:rFonts w:ascii="Arial" w:hAnsi="Arial" w:cs="Arial"/>
        </w:rPr>
        <w:t xml:space="preserve">upermarket operator in Chile in terms of revenues according to our estimations. We also opened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- 173 - </w:t>
      </w:r>
    </w:p>
    <w:p w:rsidR="00000000" w:rsidRDefault="003E5AFF">
      <w:pPr>
        <w:rPr>
          <w:rFonts w:eastAsia="Times New Roman" w:cs="Times New Roman"/>
        </w:rPr>
      </w:pPr>
      <w:r>
        <w:rPr>
          <w:rFonts w:eastAsia="Times New Roman" w:cs="Times New Roman"/>
        </w:rPr>
        <w:pict>
          <v:rect id="_x0000_i1208" style="width:441.9pt;height:3pt" o:hralign="center" o:hrstd="t" o:hrnoshade="t" o:hr="t" fillcolor="#999" stroked="f"/>
        </w:pict>
      </w:r>
    </w:p>
    <w:p w:rsidR="00000000" w:rsidRDefault="003E5AFF">
      <w:pPr>
        <w:pStyle w:val="Heading5"/>
        <w:rPr>
          <w:rFonts w:eastAsia="Times New Roman" w:cs="Times New Roman"/>
        </w:rPr>
      </w:pPr>
      <w:hyperlink r:id="rId225"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rPr>
        <w:t>two new shopping centers, the Florida Center and Portal La Dehesa, both in Santiago. We also started our credit card business with the incorporation of our Cencosud Administradora de Tarjetas de Cr_dito S.A. subsidiary, and the launching of th</w:t>
      </w:r>
      <w:r>
        <w:rPr>
          <w:rFonts w:ascii="Arial" w:hAnsi="Arial" w:cs="Arial"/>
        </w:rPr>
        <w:t xml:space="preserve">e Jumbo M_s credit card. </w:t>
      </w:r>
    </w:p>
    <w:p w:rsidR="00000000" w:rsidRDefault="003E5AFF">
      <w:pPr>
        <w:pStyle w:val="NormalWeb"/>
        <w:spacing w:before="120" w:beforeAutospacing="0" w:after="0" w:afterAutospacing="0"/>
      </w:pPr>
      <w:r>
        <w:rPr>
          <w:rFonts w:ascii="Arial" w:hAnsi="Arial" w:cs="Arial"/>
        </w:rPr>
        <w:t>In April 2004, we acquired Las Brisas supermarket chain, which enhanced our geographical coverage in several areas including Valpara_so and Concepci_n through the addition of 17 new stores. In May 2004, we completed our initial pu</w:t>
      </w:r>
      <w:r>
        <w:rPr>
          <w:rFonts w:ascii="Arial" w:hAnsi="Arial" w:cs="Arial"/>
        </w:rPr>
        <w:t>blic offering in Chile and were listed on the Santiago Stock Exchange. At the same time, we issued ADSs in the international capital markets in a private offering pursuant to Rule 144A and Regulation S, raising over U.S.$330 million. In November 2004, we b</w:t>
      </w:r>
      <w:r>
        <w:rPr>
          <w:rFonts w:ascii="Arial" w:hAnsi="Arial" w:cs="Arial"/>
        </w:rPr>
        <w:t>elieve, through the acquisition of the supermarket chain Montecarlo, we have consolidated our position as the second-largest supermarket operator in Chile. In November 2004, we also acquired the supermarket chain Disco in Argentina, one of Argentina_s larg</w:t>
      </w:r>
      <w:r>
        <w:rPr>
          <w:rFonts w:ascii="Arial" w:hAnsi="Arial" w:cs="Arial"/>
        </w:rPr>
        <w:t>est supermarket chains, which we believe consolidated our position as the second-largest supermarket operator in that country in terms of revenues. Moreover, in October 2004, we opened a new shopping center in Argentina, Portal de Rosario, which we believe</w:t>
      </w:r>
      <w:r>
        <w:rPr>
          <w:rFonts w:ascii="Arial" w:hAnsi="Arial" w:cs="Arial"/>
        </w:rPr>
        <w:t xml:space="preserve"> currently is the largest in the Rosario area in terms of revenues. </w:t>
      </w:r>
    </w:p>
    <w:p w:rsidR="00000000" w:rsidRDefault="003E5AFF">
      <w:pPr>
        <w:pStyle w:val="NormalWeb"/>
        <w:spacing w:before="120" w:beforeAutospacing="0" w:after="0" w:afterAutospacing="0"/>
      </w:pPr>
      <w:r>
        <w:rPr>
          <w:rFonts w:ascii="Arial" w:hAnsi="Arial" w:cs="Arial"/>
        </w:rPr>
        <w:t>In March 2005, we entered into the department stores business through the acquisition of Empresas Almacenes Paris S.A., one of Chile_s most important department stores chains and which al</w:t>
      </w:r>
      <w:r>
        <w:rPr>
          <w:rFonts w:ascii="Arial" w:hAnsi="Arial" w:cs="Arial"/>
        </w:rPr>
        <w:t>so operated a travel agency, an insurance broker, Banco Paris and Administradora de Cr_ditos Comerciales ACC S.A. In September 2005, we rebranded our Las Brisas and Montecarlo brands under Santa Isabel brand, in order to consolidate and enhance our superma</w:t>
      </w:r>
      <w:r>
        <w:rPr>
          <w:rFonts w:ascii="Arial" w:hAnsi="Arial" w:cs="Arial"/>
        </w:rPr>
        <w:t xml:space="preserve">rket business. </w:t>
      </w:r>
    </w:p>
    <w:p w:rsidR="00000000" w:rsidRDefault="003E5AFF">
      <w:pPr>
        <w:pStyle w:val="NormalWeb"/>
        <w:spacing w:before="240" w:beforeAutospacing="0" w:after="0" w:afterAutospacing="0"/>
      </w:pPr>
      <w:r>
        <w:rPr>
          <w:rFonts w:ascii="Arial" w:hAnsi="Arial" w:cs="Arial"/>
          <w:b/>
          <w:bCs/>
          <w:i/>
          <w:iCs/>
        </w:rPr>
        <w:t xml:space="preserve">2007_Present </w:t>
      </w:r>
    </w:p>
    <w:p w:rsidR="00000000" w:rsidRDefault="003E5AFF">
      <w:pPr>
        <w:pStyle w:val="NormalWeb"/>
        <w:spacing w:before="120" w:beforeAutospacing="0" w:after="0" w:afterAutospacing="0"/>
      </w:pPr>
      <w:r>
        <w:rPr>
          <w:rFonts w:ascii="Arial" w:hAnsi="Arial" w:cs="Arial"/>
        </w:rPr>
        <w:t>In June 2007, we acquired other two supermarket chains in Chile, Infante which operates in the city of Antofagasta and Economax with a significant presence in Santiago_s downtown, adding in total 16 new stores to our supermark</w:t>
      </w:r>
      <w:r>
        <w:rPr>
          <w:rFonts w:ascii="Arial" w:hAnsi="Arial" w:cs="Arial"/>
        </w:rPr>
        <w:t>et business. Likewise, we expanded our retail department store business by acquiring the Foster and Eurofashion clothing store chain which sells the popular clothing brands Foster, JJO and Maritimo. In November 2007, we acquired the GBarbosa supermarket an</w:t>
      </w:r>
      <w:r>
        <w:rPr>
          <w:rFonts w:ascii="Arial" w:hAnsi="Arial" w:cs="Arial"/>
        </w:rPr>
        <w:t xml:space="preserve">d hypermarket chain which operated both formats in the northeast region of Brazil with a total of 46 stores. </w:t>
      </w:r>
    </w:p>
    <w:p w:rsidR="00000000" w:rsidRDefault="003E5AFF">
      <w:pPr>
        <w:pStyle w:val="NormalWeb"/>
        <w:spacing w:before="120" w:beforeAutospacing="0" w:after="0" w:afterAutospacing="0"/>
      </w:pPr>
      <w:r>
        <w:rPr>
          <w:rFonts w:ascii="Arial" w:hAnsi="Arial" w:cs="Arial"/>
        </w:rPr>
        <w:t>In December 2007, we entered into an agreement to acquired GSW S.A., the operator of the Wong chain of supermarkets, hypermarkets and shopping cen</w:t>
      </w:r>
      <w:r>
        <w:rPr>
          <w:rFonts w:ascii="Arial" w:hAnsi="Arial" w:cs="Arial"/>
        </w:rPr>
        <w:t xml:space="preserve">ters in Peru. Pursuant to this agreement the Wong family acquired a percentage of our shares and consequently became one of our main shareholders. </w:t>
      </w:r>
    </w:p>
    <w:p w:rsidR="00000000" w:rsidRDefault="003E5AFF">
      <w:pPr>
        <w:pStyle w:val="NormalWeb"/>
        <w:spacing w:before="120" w:beforeAutospacing="0" w:after="0" w:afterAutospacing="0"/>
      </w:pPr>
      <w:r>
        <w:rPr>
          <w:rFonts w:ascii="Arial" w:hAnsi="Arial" w:cs="Arial"/>
        </w:rPr>
        <w:t>In May 2007, we entered into a joint venture agreement with Casino Guichard-Perrachon S.A. (_Casino_) in ord</w:t>
      </w:r>
      <w:r>
        <w:rPr>
          <w:rFonts w:ascii="Arial" w:hAnsi="Arial" w:cs="Arial"/>
        </w:rPr>
        <w:t xml:space="preserve">er to develop the home improvement store business in Colombia. Pursuant to the joint venture, initially we had a 70% interest in the joint venture and were in charge of the operational administration of Easy Colombia S.A., with Casino owning the remaining </w:t>
      </w:r>
      <w:r>
        <w:rPr>
          <w:rFonts w:ascii="Arial" w:hAnsi="Arial" w:cs="Arial"/>
        </w:rPr>
        <w:t xml:space="preserve">30%. In April 2009, we acquired Casino_s shares in the joint venture, increasing our ownership stake to 100%. </w:t>
      </w:r>
    </w:p>
    <w:p w:rsidR="00000000" w:rsidRDefault="003E5AFF">
      <w:pPr>
        <w:pStyle w:val="NormalWeb"/>
        <w:spacing w:before="120" w:beforeAutospacing="0" w:after="0" w:afterAutospacing="0"/>
      </w:pPr>
      <w:r>
        <w:rPr>
          <w:rFonts w:ascii="Arial" w:hAnsi="Arial" w:cs="Arial"/>
        </w:rPr>
        <w:t>In 2008, we entered the financing business in Argentina, with the launch of the M_s credit card and the opening of an insurance brokerage company in Argentina. By the end of 2008, over 200,000 cards had already been issued and around 55,000 policies had be</w:t>
      </w:r>
      <w:r>
        <w:rPr>
          <w:rFonts w:ascii="Arial" w:hAnsi="Arial" w:cs="Arial"/>
        </w:rPr>
        <w:t xml:space="preserve">en sold in Argentina. In September 2008, we acquired Blaisten, a professional do-it-yourself store in Argentina. </w:t>
      </w:r>
    </w:p>
    <w:p w:rsidR="00000000" w:rsidRDefault="003E5AFF">
      <w:pPr>
        <w:pStyle w:val="NormalWeb"/>
        <w:spacing w:before="120" w:beforeAutospacing="0" w:after="0" w:afterAutospacing="0"/>
      </w:pPr>
      <w:r>
        <w:rPr>
          <w:rFonts w:ascii="Arial" w:hAnsi="Arial" w:cs="Arial"/>
        </w:rPr>
        <w:t>In 2010, we expanded our footprint in the Brazilian market through the acquisition of three supermarket chains. In March 2010, we acquired the</w:t>
      </w:r>
      <w:r>
        <w:rPr>
          <w:rFonts w:ascii="Arial" w:hAnsi="Arial" w:cs="Arial"/>
        </w:rPr>
        <w:t xml:space="preserve"> four-store Super Familia supermarket chain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- 174 - </w:t>
      </w:r>
    </w:p>
    <w:p w:rsidR="00000000" w:rsidRDefault="003E5AFF">
      <w:pPr>
        <w:rPr>
          <w:rFonts w:eastAsia="Times New Roman" w:cs="Times New Roman"/>
        </w:rPr>
      </w:pPr>
      <w:r>
        <w:rPr>
          <w:rFonts w:eastAsia="Times New Roman" w:cs="Times New Roman"/>
        </w:rPr>
        <w:pict>
          <v:rect id="_x0000_i1209" style="width:441.9pt;height:3pt" o:hralign="center" o:hrstd="t" o:hrnoshade="t" o:hr="t" fillcolor="#999" stroked="f"/>
        </w:pict>
      </w:r>
    </w:p>
    <w:p w:rsidR="00000000" w:rsidRDefault="003E5AFF">
      <w:pPr>
        <w:pStyle w:val="Heading5"/>
        <w:rPr>
          <w:rFonts w:eastAsia="Times New Roman" w:cs="Times New Roman"/>
        </w:rPr>
      </w:pPr>
      <w:hyperlink r:id="rId22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which we estimate to be the third-largest in the city of Fortal</w:t>
      </w:r>
      <w:r>
        <w:rPr>
          <w:rFonts w:ascii="Arial" w:hAnsi="Arial" w:cs="Arial"/>
        </w:rPr>
        <w:t xml:space="preserve">eza. In April 2010, we entered the high-end retail market in Brazil with the acquisition of Perini Comercial do Alimento Ltda., operator of the four-store chain of Perini supermarkets in the city of Salvador. Perini is a well-known brand in Brazil with 46 </w:t>
      </w:r>
      <w:r>
        <w:rPr>
          <w:rFonts w:ascii="Arial" w:hAnsi="Arial" w:cs="Arial"/>
        </w:rPr>
        <w:t>years in the market and complements our existing operations in Brazil. In October 2010, we acquired what we estimated to be the largest supermarket chain in the Brazilian state of Minas Gerais, Bretas, with 62 stores in three Brazilian states at the time o</w:t>
      </w:r>
      <w:r>
        <w:rPr>
          <w:rFonts w:ascii="Arial" w:hAnsi="Arial" w:cs="Arial"/>
        </w:rPr>
        <w:t xml:space="preserve">f acquisition: Minas Gerais, Goias and Bahia. With the Bretas acquisition, we consolidated our position as Brazil_s fourth-largest supermarket operator in terms of revenues, as measured by ABRAS. </w:t>
      </w:r>
    </w:p>
    <w:p w:rsidR="00000000" w:rsidRDefault="003E5AFF">
      <w:pPr>
        <w:pStyle w:val="NormalWeb"/>
        <w:spacing w:before="120" w:beforeAutospacing="0" w:after="0" w:afterAutospacing="0"/>
      </w:pPr>
      <w:r>
        <w:rPr>
          <w:rFonts w:ascii="Arial" w:hAnsi="Arial" w:cs="Arial"/>
        </w:rPr>
        <w:t>At the beginning of 2011 we issued U.S.$750 million aggrega</w:t>
      </w:r>
      <w:r>
        <w:rPr>
          <w:rFonts w:ascii="Arial" w:hAnsi="Arial" w:cs="Arial"/>
        </w:rPr>
        <w:t>te principal amount of bonds due 2121 in a 144A/Reg-S offering in the international capital market, with a fixed interest rate of 7.40%. Additionally, in June 2011 we issued a local bond in Chilean pesos, for the amount of Ch$54,000 million aggregate princ</w:t>
      </w:r>
      <w:r>
        <w:rPr>
          <w:rFonts w:ascii="Arial" w:hAnsi="Arial" w:cs="Arial"/>
        </w:rPr>
        <w:t xml:space="preserve">ipal amount of bonds due 2031 in the local Chilean market, with a fixed interest rate of 7.40%. This was the first bond issued by a local company, both public and private, in Chilean pesos with a term to maturity of 20 years. </w:t>
      </w:r>
    </w:p>
    <w:p w:rsidR="00000000" w:rsidRDefault="003E5AFF">
      <w:pPr>
        <w:pStyle w:val="NormalWeb"/>
        <w:spacing w:before="120" w:beforeAutospacing="0" w:after="0" w:afterAutospacing="0"/>
      </w:pPr>
      <w:r>
        <w:rPr>
          <w:rFonts w:ascii="Arial" w:hAnsi="Arial" w:cs="Arial"/>
        </w:rPr>
        <w:t xml:space="preserve">In March 2011, UBS AG London </w:t>
      </w:r>
      <w:r>
        <w:rPr>
          <w:rFonts w:ascii="Arial" w:hAnsi="Arial" w:cs="Arial"/>
        </w:rPr>
        <w:t xml:space="preserve">Branch (_UBS_) executed a shareholders agreement to purchase from certain investors a 38.636% stake in Cencosud_s subsidiary Jumbo Retail Argentina, which operates our supermarkets in Argentina, for U.S.$442 million. See _Business_Material Agreements._ </w:t>
      </w:r>
    </w:p>
    <w:p w:rsidR="00000000" w:rsidRDefault="003E5AFF">
      <w:pPr>
        <w:pStyle w:val="NormalWeb"/>
        <w:spacing w:before="120" w:beforeAutospacing="0" w:after="0" w:afterAutospacing="0"/>
      </w:pPr>
      <w:r>
        <w:rPr>
          <w:rFonts w:ascii="Arial" w:hAnsi="Arial" w:cs="Arial"/>
        </w:rPr>
        <w:t>In</w:t>
      </w:r>
      <w:r>
        <w:rPr>
          <w:rFonts w:ascii="Arial" w:hAnsi="Arial" w:cs="Arial"/>
        </w:rPr>
        <w:t xml:space="preserve"> August 2011, Cencosud Brasil Comercial Ltda. (_Cencosud Brasil Comercial_), Irm_os Bretas, Filhos e Cia. Ltda. (_Bretas_), Mercantil Rodrigues Comercial, Ltda. (_Mercantil Rodrigues_), Perini Comercial de Alimentos Ltda. (_Perini_) and Cencosud Brasil S.A</w:t>
      </w:r>
      <w:r>
        <w:rPr>
          <w:rFonts w:ascii="Arial" w:hAnsi="Arial" w:cs="Arial"/>
        </w:rPr>
        <w:t>. (_Cencosud Brasil_) entered into an agreement with Banco Bradesco pursuant to which Banco Bradesco agreed to render financial services in Cencosud stores in Brazil, particularly regarding the exclusive issuance and operation of the Cencosud Card credit c</w:t>
      </w:r>
      <w:r>
        <w:rPr>
          <w:rFonts w:ascii="Arial" w:hAnsi="Arial" w:cs="Arial"/>
        </w:rPr>
        <w:t xml:space="preserve">ard (Cart_o Cencosud), as well as the offer, within Cencosud stores in Brazil, of consumer loans, purchase financing and insurance products. </w:t>
      </w:r>
    </w:p>
    <w:p w:rsidR="00000000" w:rsidRDefault="003E5AFF">
      <w:pPr>
        <w:pStyle w:val="NormalWeb"/>
        <w:spacing w:before="120" w:beforeAutospacing="0" w:after="0" w:afterAutospacing="0"/>
      </w:pPr>
      <w:r>
        <w:rPr>
          <w:rFonts w:ascii="Arial" w:hAnsi="Arial" w:cs="Arial"/>
        </w:rPr>
        <w:t>In 2011, we continued expanding into the Brazilian market through the acquisition of Cardoso. Cardoso is a three-s</w:t>
      </w:r>
      <w:r>
        <w:rPr>
          <w:rFonts w:ascii="Arial" w:hAnsi="Arial" w:cs="Arial"/>
        </w:rPr>
        <w:t>tore supermarket chain in the state of Bahia, with net sales of approximately R$60 million (U.S.$35.9 million) in 2011. Cencosud paid the purchase price of US$11.3 million or Ch$5.429 in three installments, 60% on the closing of the transaction, 20% on the</w:t>
      </w:r>
      <w:r>
        <w:rPr>
          <w:rFonts w:ascii="Arial" w:hAnsi="Arial" w:cs="Arial"/>
        </w:rPr>
        <w:t xml:space="preserve"> 6-month anniversary of the closing date and the remaining 20% on the first year anniversary of the closing date. We have converted the acquired stores to the GBarbosa format and are now operating under this brand. </w:t>
      </w:r>
    </w:p>
    <w:p w:rsidR="00000000" w:rsidRDefault="003E5AFF">
      <w:pPr>
        <w:pStyle w:val="NormalWeb"/>
        <w:spacing w:before="120" w:beforeAutospacing="0" w:after="0" w:afterAutospacing="0"/>
      </w:pPr>
      <w:r>
        <w:rPr>
          <w:rFonts w:ascii="Arial" w:hAnsi="Arial" w:cs="Arial"/>
        </w:rPr>
        <w:t xml:space="preserve">In December 2011, we acquired 85.58% of </w:t>
      </w:r>
      <w:r>
        <w:rPr>
          <w:rFonts w:ascii="Arial" w:hAnsi="Arial" w:cs="Arial"/>
        </w:rPr>
        <w:t>the capital stock of in Johnson_s S.A. for an aggregate purchase price of Ch$32,606 million. Johnson_s is a department store with 39 stores throughout Chile using the Johnson_s brand and 13 stores using the FES brand totaling 117,569 square meters of selli</w:t>
      </w:r>
      <w:r>
        <w:rPr>
          <w:rFonts w:ascii="Arial" w:hAnsi="Arial" w:cs="Arial"/>
        </w:rPr>
        <w:t>ng space. In 2011, Johnson_s registered sales of CLP$118,447 million from its retail operations. We plan to replace all Johnson_s credit cards with Cencosud credit cards, which will soon be accepted across all our retail formats. With the acquisition of Jo</w:t>
      </w:r>
      <w:r>
        <w:rPr>
          <w:rFonts w:ascii="Arial" w:hAnsi="Arial" w:cs="Arial"/>
        </w:rPr>
        <w:t xml:space="preserve">hnson_s we are able to target low and middle income market segments, in a similar fashion as with the acquisition of Santa Isabel in the supermarkets division, as Johnson_s stores are smaller, targeted to low and mid income consumers and better located to </w:t>
      </w:r>
      <w:r>
        <w:rPr>
          <w:rFonts w:ascii="Arial" w:hAnsi="Arial" w:cs="Arial"/>
        </w:rPr>
        <w:t xml:space="preserve">target that market segment. </w:t>
      </w:r>
    </w:p>
    <w:p w:rsidR="00000000" w:rsidRDefault="003E5AFF">
      <w:pPr>
        <w:pStyle w:val="NormalWeb"/>
        <w:spacing w:before="120" w:beforeAutospacing="0" w:after="0" w:afterAutospacing="0"/>
      </w:pPr>
      <w:r>
        <w:rPr>
          <w:rFonts w:ascii="Arial" w:hAnsi="Arial" w:cs="Arial"/>
        </w:rPr>
        <w:t xml:space="preserve">On January 2, 2012, we acquired 100% of the capital stock of Prezunic Comercial Ltda. (_Prezunic_). The aggregate purchase price of the operation was R$875 million, payable as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- 175 - </w:t>
      </w:r>
    </w:p>
    <w:p w:rsidR="00000000" w:rsidRDefault="003E5AFF">
      <w:pPr>
        <w:rPr>
          <w:rFonts w:eastAsia="Times New Roman" w:cs="Times New Roman"/>
        </w:rPr>
      </w:pPr>
      <w:r>
        <w:rPr>
          <w:rFonts w:eastAsia="Times New Roman" w:cs="Times New Roman"/>
        </w:rPr>
        <w:pict>
          <v:rect id="_x0000_i1210" style="width:441.9pt;height:3pt" o:hralign="center" o:hrstd="t" o:hrnoshade="t" o:hr="t" fillcolor="#999" stroked="f"/>
        </w:pict>
      </w:r>
    </w:p>
    <w:p w:rsidR="00000000" w:rsidRDefault="003E5AFF">
      <w:pPr>
        <w:pStyle w:val="Heading5"/>
        <w:rPr>
          <w:rFonts w:eastAsia="Times New Roman" w:cs="Times New Roman"/>
        </w:rPr>
      </w:pPr>
      <w:hyperlink r:id="rId22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follows: R$580 million on the closing date of the transaction (January 2, 2012), with the balance to be paid as follows: R$80 million, R$85 million, R$80 million and R$50 million, on the first, second, third and</w:t>
      </w:r>
      <w:r>
        <w:rPr>
          <w:rFonts w:ascii="Arial" w:hAnsi="Arial" w:cs="Arial"/>
        </w:rPr>
        <w:t xml:space="preserve"> fourth anniversary of the closing date, respectively. We estimate that Prezunic is the third-largest supermarket chain in Rio de Janeiro with 31 stores and net sales of approximately R$2.2 billion in 2011. </w:t>
      </w:r>
    </w:p>
    <w:p w:rsidR="00000000" w:rsidRDefault="003E5AFF">
      <w:pPr>
        <w:pStyle w:val="NormalWeb"/>
        <w:spacing w:before="240" w:beforeAutospacing="0" w:after="0" w:afterAutospacing="0"/>
      </w:pPr>
      <w:r>
        <w:rPr>
          <w:rFonts w:ascii="Arial" w:hAnsi="Arial" w:cs="Arial"/>
          <w:b/>
          <w:bCs/>
          <w:sz w:val="24"/>
          <w:szCs w:val="24"/>
        </w:rPr>
        <w:t xml:space="preserve">Our business strategy </w:t>
      </w:r>
    </w:p>
    <w:p w:rsidR="00000000" w:rsidRDefault="003E5AFF">
      <w:pPr>
        <w:pStyle w:val="NormalWeb"/>
        <w:spacing w:before="120" w:beforeAutospacing="0" w:after="0" w:afterAutospacing="0"/>
      </w:pPr>
      <w:r>
        <w:rPr>
          <w:rFonts w:ascii="Arial" w:hAnsi="Arial" w:cs="Arial"/>
        </w:rPr>
        <w:t>We aim to leverage our co</w:t>
      </w:r>
      <w:r>
        <w:rPr>
          <w:rFonts w:ascii="Arial" w:hAnsi="Arial" w:cs="Arial"/>
        </w:rPr>
        <w:t xml:space="preserve">mpetitive strengths across our formats and business units to become one of the most profitable Latin American retailers by providing our customers with a superior shopping experience. We plan to accomplish our objectives by focusing on the following: </w:t>
      </w:r>
    </w:p>
    <w:p w:rsidR="00000000" w:rsidRDefault="003E5AFF">
      <w:pPr>
        <w:pStyle w:val="NormalWeb"/>
        <w:spacing w:before="120" w:beforeAutospacing="0" w:after="0" w:afterAutospacing="0"/>
      </w:pPr>
      <w:r>
        <w:rPr>
          <w:rFonts w:ascii="Arial" w:hAnsi="Arial" w:cs="Arial"/>
          <w:i/>
          <w:iCs/>
        </w:rPr>
        <w:t>Cont</w:t>
      </w:r>
      <w:r>
        <w:rPr>
          <w:rFonts w:ascii="Arial" w:hAnsi="Arial" w:cs="Arial"/>
          <w:i/>
          <w:iCs/>
        </w:rPr>
        <w:t>inue to develop and expand our multi-format and multi-brand approach</w:t>
      </w:r>
      <w:r>
        <w:rPr>
          <w:rFonts w:ascii="Arial" w:hAnsi="Arial" w:cs="Arial"/>
        </w:rPr>
        <w:t>.    We believe that our integrated multi-format business model allows us to drive customer traffic in our stores and materialize synergies across our different business units. Currently w</w:t>
      </w:r>
      <w:r>
        <w:rPr>
          <w:rFonts w:ascii="Arial" w:hAnsi="Arial" w:cs="Arial"/>
        </w:rPr>
        <w:t>e only operate department stores in Chile and we only operate home improvement stores in Argentina, Chile and Colombia. We will continue to develop and expand new formats in our key markets seeking to capture a greater share of the disposable income of our</w:t>
      </w:r>
      <w:r>
        <w:rPr>
          <w:rFonts w:ascii="Arial" w:hAnsi="Arial" w:cs="Arial"/>
        </w:rPr>
        <w:t xml:space="preserve"> customer base. </w:t>
      </w:r>
    </w:p>
    <w:p w:rsidR="00000000" w:rsidRDefault="003E5AFF">
      <w:pPr>
        <w:pStyle w:val="NormalWeb"/>
        <w:spacing w:before="120" w:beforeAutospacing="0" w:after="0" w:afterAutospacing="0"/>
        <w:ind w:left="476"/>
      </w:pPr>
      <w:r>
        <w:rPr>
          <w:rFonts w:ascii="Arial" w:hAnsi="Arial" w:cs="Arial"/>
          <w:i/>
          <w:iCs/>
        </w:rPr>
        <w:t>Focus on operating margins and cash flows.    </w:t>
      </w:r>
      <w:r>
        <w:rPr>
          <w:rFonts w:ascii="Arial" w:hAnsi="Arial" w:cs="Arial"/>
        </w:rPr>
        <w:t>We are focused on streamlining distribution and back-office capabilities and improving operating efficiencies, seeking to improve our profitability and cash flow generation. Our emphasis on fin</w:t>
      </w:r>
      <w:r>
        <w:rPr>
          <w:rFonts w:ascii="Arial" w:hAnsi="Arial" w:cs="Arial"/>
        </w:rPr>
        <w:t xml:space="preserve">ancial discipline has successfully allowed us to maintain high debt ratings while implementing our capital expenditure and expansion plan with sufficient flexibility to rapidly adapt and react to new opportunities and market dynamics. </w:t>
      </w:r>
    </w:p>
    <w:p w:rsidR="00000000" w:rsidRDefault="003E5AFF">
      <w:pPr>
        <w:pStyle w:val="NormalWeb"/>
        <w:spacing w:before="120" w:beforeAutospacing="0" w:after="0" w:afterAutospacing="0"/>
        <w:ind w:left="476"/>
      </w:pPr>
      <w:r>
        <w:rPr>
          <w:rFonts w:ascii="Arial" w:hAnsi="Arial" w:cs="Arial"/>
          <w:i/>
          <w:iCs/>
        </w:rPr>
        <w:t>Expand through growth in selective markets</w:t>
      </w:r>
      <w:r>
        <w:rPr>
          <w:rFonts w:ascii="Arial" w:hAnsi="Arial" w:cs="Arial"/>
        </w:rPr>
        <w:t xml:space="preserve">.    We believe we have significant opportunities to increase our presence and market share in those countries that we believe offer the best growth prospects, particularly Brazil and Peru. We believe that we have </w:t>
      </w:r>
      <w:r>
        <w:rPr>
          <w:rFonts w:ascii="Arial" w:hAnsi="Arial" w:cs="Arial"/>
        </w:rPr>
        <w:t>a solid foundation for continued growth, due to our focus on improving profitability, our store openings track record and our leading position based on revenues, selling space, number of stores and gross leasable area based on our market position in the se</w:t>
      </w:r>
      <w:r>
        <w:rPr>
          <w:rFonts w:ascii="Arial" w:hAnsi="Arial" w:cs="Arial"/>
        </w:rPr>
        <w:t>ctors and countries in which we operate. The ranking methodology we use to calculate our market position is summarized in _Industry Overview &amp; Competition_ in this prospectus. We intend to leverage on our strong brand recognition, integrated business model</w:t>
      </w:r>
      <w:r>
        <w:rPr>
          <w:rFonts w:ascii="Arial" w:hAnsi="Arial" w:cs="Arial"/>
        </w:rPr>
        <w:t xml:space="preserve"> and multi-format experience. </w:t>
      </w:r>
    </w:p>
    <w:p w:rsidR="00000000" w:rsidRDefault="003E5AFF">
      <w:pPr>
        <w:pStyle w:val="NormalWeb"/>
        <w:spacing w:before="120" w:beforeAutospacing="0" w:after="0" w:afterAutospacing="0"/>
        <w:ind w:left="476"/>
      </w:pPr>
      <w:r>
        <w:rPr>
          <w:rFonts w:ascii="Arial" w:hAnsi="Arial" w:cs="Arial"/>
          <w:i/>
          <w:iCs/>
        </w:rPr>
        <w:t>Continue to pursue opportunistic acquisitions while maximizing synergies.    </w:t>
      </w:r>
      <w:r>
        <w:rPr>
          <w:rFonts w:ascii="Arial" w:hAnsi="Arial" w:cs="Arial"/>
        </w:rPr>
        <w:t xml:space="preserve">We believe that </w:t>
      </w:r>
      <w:r>
        <w:rPr>
          <w:rFonts w:ascii="Arial" w:hAnsi="Arial" w:cs="Arial"/>
        </w:rPr>
        <w:t>further opportunities exist to gain scale and access to attractive locations and strong local brands through opportunistic acquisitions in key markets. We intend to seek a successful integration of all of our acquisitions expecting that these will facilita</w:t>
      </w:r>
      <w:r>
        <w:rPr>
          <w:rFonts w:ascii="Arial" w:hAnsi="Arial" w:cs="Arial"/>
        </w:rPr>
        <w:t>te our ability to implement synergies in purchasing, supply chain, marketing, back-office operations, technology and infrastructure. We expect to focus our efforts in expanding our presence in our core markets, particularly in Peru and Brazil, gaining acce</w:t>
      </w:r>
      <w:r>
        <w:rPr>
          <w:rFonts w:ascii="Arial" w:hAnsi="Arial" w:cs="Arial"/>
        </w:rPr>
        <w:t xml:space="preserve">ss to key locations and strong local brands in our target markets. </w:t>
      </w:r>
    </w:p>
    <w:p w:rsidR="00000000" w:rsidRDefault="003E5AFF">
      <w:pPr>
        <w:pStyle w:val="NormalWeb"/>
        <w:spacing w:before="120" w:beforeAutospacing="0" w:after="0" w:afterAutospacing="0"/>
        <w:ind w:left="476"/>
      </w:pPr>
      <w:r>
        <w:rPr>
          <w:rFonts w:ascii="Arial" w:hAnsi="Arial" w:cs="Arial"/>
          <w:i/>
          <w:iCs/>
        </w:rPr>
        <w:t>Enhance customer loyalty.    </w:t>
      </w:r>
      <w:r>
        <w:rPr>
          <w:rFonts w:ascii="Arial" w:hAnsi="Arial" w:cs="Arial"/>
        </w:rPr>
        <w:t>We intend to increase our share of our customers_ total retail spending by offering a combination of competitive prices, quality products, convenient locations</w:t>
      </w:r>
      <w:r>
        <w:rPr>
          <w:rFonts w:ascii="Arial" w:hAnsi="Arial" w:cs="Arial"/>
        </w:rPr>
        <w:t xml:space="preserve">, personalized service and an attractive _one-stop_ shopping environment. We seek to deliver a comprehensive shopping experience and we aim to successfully fulfill our customers_ needs through our multi-format approach, diversified product mix, innovative </w:t>
      </w:r>
      <w:r>
        <w:rPr>
          <w:rFonts w:ascii="Arial" w:hAnsi="Arial" w:cs="Arial"/>
        </w:rPr>
        <w:t xml:space="preserve">marketing and pricing and complementary consumer finance services.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- 176 - </w:t>
      </w:r>
    </w:p>
    <w:p w:rsidR="00000000" w:rsidRDefault="003E5AFF">
      <w:pPr>
        <w:rPr>
          <w:rFonts w:eastAsia="Times New Roman" w:cs="Times New Roman"/>
        </w:rPr>
      </w:pPr>
      <w:r>
        <w:rPr>
          <w:rFonts w:eastAsia="Times New Roman" w:cs="Times New Roman"/>
        </w:rPr>
        <w:pict>
          <v:rect id="_x0000_i1211" style="width:441.9pt;height:3pt" o:hralign="center" o:hrstd="t" o:hrnoshade="t" o:hr="t" fillcolor="#999" stroked="f"/>
        </w:pict>
      </w:r>
    </w:p>
    <w:p w:rsidR="00000000" w:rsidRDefault="003E5AFF">
      <w:pPr>
        <w:pStyle w:val="Heading5"/>
        <w:rPr>
          <w:rFonts w:eastAsia="Times New Roman" w:cs="Times New Roman"/>
        </w:rPr>
      </w:pPr>
      <w:hyperlink r:id="rId22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Our organizational structure </w:t>
      </w:r>
    </w:p>
    <w:p w:rsidR="00000000" w:rsidRDefault="003E5AFF">
      <w:pPr>
        <w:pStyle w:val="NormalWeb"/>
        <w:spacing w:before="120" w:beforeAutospacing="0" w:after="0" w:afterAutospacing="0"/>
      </w:pPr>
      <w:r>
        <w:rPr>
          <w:rFonts w:ascii="Arial" w:hAnsi="Arial" w:cs="Arial"/>
        </w:rPr>
        <w:t xml:space="preserve">The following is a simplified organizational chart showing our company and our principal operating divisions as of the date of this prospectus. </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spacing w:before="120" w:beforeAutospacing="0" w:after="0" w:afterAutospacing="0"/>
        <w:jc w:val="center"/>
      </w:pPr>
      <w:r>
        <w:fldChar w:fldCharType="begin" w:fldLock="1"/>
      </w:r>
      <w:r>
        <w:instrText xml:space="preserve"> </w:instrText>
      </w:r>
      <w:r>
        <w:instrText>INCLUDEPICTURE  \d "Macintosh HD:Users:Go:Dropbox:Creatika (1</w:instrText>
      </w:r>
      <w:r>
        <w:instrText>):5 Filings:Filings SEC:./Amendment No. 2 to Form F-1_files/g343004g94m12.jpg" \x \y \* MERGEFORMATINET</w:instrText>
      </w:r>
      <w:r>
        <w:instrText xml:space="preserve"> </w:instrText>
      </w:r>
      <w:r>
        <w:fldChar w:fldCharType="separate"/>
      </w:r>
      <w:r>
        <w:pict>
          <v:shape id="_x0000_i1212" type="#_x0000_t75" alt="OGO" style="width:24pt;height:24pt">
            <v:imagedata r:id="rId229"/>
          </v:shape>
        </w:pict>
      </w:r>
      <w:r>
        <w:fldChar w:fldCharType="end"/>
      </w:r>
    </w:p>
    <w:p w:rsidR="00000000" w:rsidRDefault="003E5AFF">
      <w:pPr>
        <w:pStyle w:val="NormalWeb"/>
        <w:spacing w:before="240" w:beforeAutospacing="0" w:after="0" w:afterAutospacing="0"/>
      </w:pPr>
      <w:r>
        <w:rPr>
          <w:rFonts w:ascii="Arial" w:hAnsi="Arial" w:cs="Arial"/>
          <w:b/>
          <w:bCs/>
          <w:sz w:val="24"/>
          <w:szCs w:val="24"/>
        </w:rPr>
        <w:t xml:space="preserve">Operations </w:t>
      </w:r>
    </w:p>
    <w:p w:rsidR="00000000" w:rsidRDefault="003E5AFF">
      <w:pPr>
        <w:pStyle w:val="NormalWeb"/>
        <w:spacing w:before="120" w:beforeAutospacing="0" w:after="0" w:afterAutospacing="0"/>
      </w:pPr>
      <w:r>
        <w:rPr>
          <w:rFonts w:ascii="Arial" w:hAnsi="Arial" w:cs="Arial"/>
        </w:rPr>
        <w:t>We serve several markets through our extensive network of stores and shopping centers in South America under six diversified business segments. Our five principal segme</w:t>
      </w:r>
      <w:r>
        <w:rPr>
          <w:rFonts w:ascii="Arial" w:hAnsi="Arial" w:cs="Arial"/>
        </w:rPr>
        <w:t>nts are: supermarkets, home improvement stores, department stores, shopping centers and financial services. As of March 31, 2012, we operated 906 stores and shopping centers in Chile, Argentina, Brazil, Peru and Colombia with a total selling area of 3,302,</w:t>
      </w:r>
      <w:r>
        <w:rPr>
          <w:rFonts w:ascii="Arial" w:hAnsi="Arial" w:cs="Arial"/>
        </w:rPr>
        <w:t>564 square meters. Through our various store formats and our numerous brands, we offer a full range of products intended to appeal to all types of consumers. The merchandise we carry includes one or more of the leading manufacturers in each category comple</w:t>
      </w:r>
      <w:r>
        <w:rPr>
          <w:rFonts w:ascii="Arial" w:hAnsi="Arial" w:cs="Arial"/>
        </w:rPr>
        <w:t xml:space="preserve">mented by our offerings of our own private label brands. We believe the diversity and strength of our brands and our varied store formats allows us to compete effectively against our competitors, which range from traditional independent grocery stores and </w:t>
      </w:r>
      <w:r>
        <w:rPr>
          <w:rFonts w:ascii="Arial" w:hAnsi="Arial" w:cs="Arial"/>
        </w:rPr>
        <w:t xml:space="preserve">food specialists to mass market retailers.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- 177 - </w:t>
      </w:r>
    </w:p>
    <w:p w:rsidR="00000000" w:rsidRDefault="003E5AFF">
      <w:pPr>
        <w:rPr>
          <w:rFonts w:eastAsia="Times New Roman" w:cs="Times New Roman"/>
        </w:rPr>
      </w:pPr>
      <w:r>
        <w:rPr>
          <w:rFonts w:eastAsia="Times New Roman" w:cs="Times New Roman"/>
        </w:rPr>
        <w:pict>
          <v:rect id="_x0000_i1213" style="width:441.9pt;height:3pt" o:hralign="center" o:hrstd="t" o:hrnoshade="t" o:hr="t" fillcolor="#999" stroked="f"/>
        </w:pict>
      </w:r>
    </w:p>
    <w:p w:rsidR="00000000" w:rsidRDefault="003E5AFF">
      <w:pPr>
        <w:pStyle w:val="Heading5"/>
        <w:rPr>
          <w:rFonts w:eastAsia="Times New Roman" w:cs="Times New Roman"/>
        </w:rPr>
      </w:pPr>
      <w:hyperlink r:id="rId23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As of March 31, 2012, our brand portfolio includes the following principal brands: </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spacing w:before="120" w:beforeAutospacing="0" w:after="0" w:afterAutospacing="0"/>
        <w:jc w:val="center"/>
      </w:pPr>
      <w:r>
        <w:fldChar w:fldCharType="begin" w:fldLock="1"/>
      </w:r>
      <w:r>
        <w:instrText xml:space="preserve"> </w:instrText>
      </w:r>
      <w:r>
        <w:instrText>INCLUDEPICTURE  \d "Macintosh HD:Users:Go:Dropbox:Creatika (1):5 Filings:Filings SEC:</w:instrText>
      </w:r>
      <w:r>
        <w:instrText>./Amendment No. 2 to Form F-1_files/g343004g74r51.jpg" \x \y \* MERGEFORMATINET</w:instrText>
      </w:r>
      <w:r>
        <w:instrText xml:space="preserve"> </w:instrText>
      </w:r>
      <w:r>
        <w:fldChar w:fldCharType="separate"/>
      </w:r>
      <w:r>
        <w:pict>
          <v:shape id="_x0000_i1214" type="#_x0000_t75" alt="OGO" style="width:24pt;height:24pt">
            <v:imagedata r:id="rId231"/>
          </v:shape>
        </w:pict>
      </w:r>
      <w:r>
        <w:fldChar w:fldCharType="end"/>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- 178 - </w:t>
      </w:r>
    </w:p>
    <w:p w:rsidR="00000000" w:rsidRDefault="003E5AFF">
      <w:pPr>
        <w:rPr>
          <w:rFonts w:eastAsia="Times New Roman" w:cs="Times New Roman"/>
        </w:rPr>
      </w:pPr>
      <w:r>
        <w:rPr>
          <w:rFonts w:eastAsia="Times New Roman" w:cs="Times New Roman"/>
        </w:rPr>
        <w:pict>
          <v:rect id="_x0000_i1215" style="width:441.9pt;height:3pt" o:hralign="center" o:hrstd="t" o:hrnoshade="t" o:hr="t" fillcolor="#999" stroked="f"/>
        </w:pict>
      </w:r>
    </w:p>
    <w:p w:rsidR="00000000" w:rsidRDefault="003E5AFF">
      <w:pPr>
        <w:pStyle w:val="Heading5"/>
        <w:rPr>
          <w:rFonts w:eastAsia="Times New Roman" w:cs="Times New Roman"/>
        </w:rPr>
      </w:pPr>
      <w:hyperlink r:id="rId23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We believe we have established a positive record in the operation of our businesses. The following table sets forth certain performance metrics related to our consolidated growth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441"/>
        <w:gridCol w:w="508"/>
        <w:gridCol w:w="367"/>
        <w:gridCol w:w="946"/>
        <w:gridCol w:w="112"/>
        <w:gridCol w:w="507"/>
        <w:gridCol w:w="367"/>
        <w:gridCol w:w="946"/>
        <w:gridCol w:w="112"/>
      </w:tblGrid>
      <w:tr w:rsidR="00000000">
        <w:trPr>
          <w:jc w:val="center"/>
        </w:trPr>
        <w:tc>
          <w:tcPr>
            <w:tcW w:w="350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 xml:space="preserve">Number of retail stores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 xml:space="preserve">Total store area (square meters)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3,302,364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2,890,371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 xml:space="preserve">Net sales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2,168,909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1,738,634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 xml:space="preserve">Adjusted EBITDA(2)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145,231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151,811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and selling space.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See _Presentation of Financial Information_ for the definition of Adjusted EBITDA and the reconciliation of Adjusted EBITDA to IFRS measures. </w:t>
            </w:r>
          </w:p>
        </w:tc>
      </w:tr>
    </w:tbl>
    <w:p w:rsidR="00000000" w:rsidRDefault="003E5AFF">
      <w:pPr>
        <w:pStyle w:val="NormalWeb"/>
        <w:spacing w:before="240" w:beforeAutospacing="0" w:after="0" w:afterAutospacing="0"/>
      </w:pPr>
      <w:r>
        <w:rPr>
          <w:rFonts w:ascii="Arial" w:hAnsi="Arial" w:cs="Arial"/>
          <w:b/>
          <w:bCs/>
          <w:sz w:val="24"/>
          <w:szCs w:val="24"/>
        </w:rPr>
        <w:t xml:space="preserve">Supermarkets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 xml:space="preserve">We pioneered the hypermarket format in Chile with the opening of our first Jumbo hypermarket in 1976. Since then, we have expanded and grown our supermarkets division, and at December 31, 2011 we owned a total of 32 Jumbo hypermarkets and 157 Santa Isabel </w:t>
      </w:r>
      <w:r>
        <w:rPr>
          <w:rFonts w:ascii="Arial" w:hAnsi="Arial" w:cs="Arial"/>
        </w:rPr>
        <w:t>supermarkets in Chile. We opened our first Jumbo hypermarket in Argentina in 1982 and in 2004 acquired the Disco supermarket chain, significantly enhancing our presence in Argentina and at December 31, 2011 we operated 21 Jumbo hypermarkets and 250 Disco a</w:t>
      </w:r>
      <w:r>
        <w:rPr>
          <w:rFonts w:ascii="Arial" w:hAnsi="Arial" w:cs="Arial"/>
        </w:rPr>
        <w:t xml:space="preserve">nd Super Vea supermarkets in Argentina. We estimate that we are each of Chile and Argentina_s second-largest supermarket operator in terms of sales. </w:t>
      </w:r>
    </w:p>
    <w:p w:rsidR="00000000" w:rsidRDefault="003E5AFF">
      <w:pPr>
        <w:pStyle w:val="NormalWeb"/>
        <w:spacing w:before="120" w:beforeAutospacing="0" w:after="0" w:afterAutospacing="0"/>
      </w:pPr>
      <w:r>
        <w:rPr>
          <w:rFonts w:ascii="Arial" w:hAnsi="Arial" w:cs="Arial"/>
        </w:rPr>
        <w:t>In recent years, we have expanded beyond our traditional supermarket presence in Chile and Argentina and h</w:t>
      </w:r>
      <w:r>
        <w:rPr>
          <w:rFonts w:ascii="Arial" w:hAnsi="Arial" w:cs="Arial"/>
        </w:rPr>
        <w:t xml:space="preserve">ave made sizeable acquisitions in Brazil and Peru. As a result, at December 31, 2011 we operated 152 supermarket stores in Brazil under the brands GBarbosa, Mercantil Rodrigues, Perini, Super Familia and Bretas. With our acquisition of Prezunic in January </w:t>
      </w:r>
      <w:r>
        <w:rPr>
          <w:rFonts w:ascii="Arial" w:hAnsi="Arial" w:cs="Arial"/>
        </w:rPr>
        <w:t>2012, we consolidated our position as Brazil_s fourth-largest supermarket operator, in terms of revenues, according to ABRAS. Regionally, we estimate that we are the second-largest operator in the northeast of Brazil, the largest operator in Minas Gerais i</w:t>
      </w:r>
      <w:r>
        <w:rPr>
          <w:rFonts w:ascii="Arial" w:hAnsi="Arial" w:cs="Arial"/>
        </w:rPr>
        <w:t>n Brazil and, following the recent acquisition of Prezunic, the third-largest operator in Rio de Janeiro, in terms of sales. In Peru we operated 74 Metro and Wong hypermarkets and supermarkets at December 31, 2011. According to Apoyo, we are the largest su</w:t>
      </w:r>
      <w:r>
        <w:rPr>
          <w:rFonts w:ascii="Arial" w:hAnsi="Arial" w:cs="Arial"/>
        </w:rPr>
        <w:t>permarket operator in Peru in terms of sales. For the year ended December 31, 2011, our supermarkets generated revenues from ordinary activities, gross margin and Adjusted EBITDA of Ch$5,556,271 million, Ch$1,378,607 million and Ch$376,164 million, respect</w:t>
      </w:r>
      <w:r>
        <w:rPr>
          <w:rFonts w:ascii="Arial" w:hAnsi="Arial" w:cs="Arial"/>
        </w:rPr>
        <w:t xml:space="preserve">ively.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- 179 - </w:t>
      </w:r>
    </w:p>
    <w:p w:rsidR="00000000" w:rsidRDefault="003E5AFF">
      <w:pPr>
        <w:rPr>
          <w:rFonts w:eastAsia="Times New Roman" w:cs="Times New Roman"/>
        </w:rPr>
      </w:pPr>
      <w:r>
        <w:rPr>
          <w:rFonts w:eastAsia="Times New Roman" w:cs="Times New Roman"/>
        </w:rPr>
        <w:pict>
          <v:rect id="_x0000_i1216" style="width:441.9pt;height:3pt" o:hralign="center" o:hrstd="t" o:hrnoshade="t" o:hr="t" fillcolor="#999" stroked="f"/>
        </w:pict>
      </w:r>
    </w:p>
    <w:p w:rsidR="00000000" w:rsidRDefault="003E5AFF">
      <w:pPr>
        <w:pStyle w:val="Heading5"/>
        <w:rPr>
          <w:rFonts w:eastAsia="Times New Roman" w:cs="Times New Roman"/>
        </w:rPr>
      </w:pPr>
      <w:hyperlink r:id="rId23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As noted under __History_ above, our supermarket operations have expanded through organic growth and several acquisitions over the </w:t>
      </w:r>
      <w:r>
        <w:rPr>
          <w:rFonts w:ascii="Arial" w:hAnsi="Arial" w:cs="Arial"/>
        </w:rPr>
        <w:t xml:space="preserve">past three years. The following table sets forth, for the periods indicated, the effect of the expansion of our supermarket operations: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746"/>
        <w:gridCol w:w="143"/>
        <w:gridCol w:w="367"/>
        <w:gridCol w:w="890"/>
        <w:gridCol w:w="112"/>
        <w:gridCol w:w="143"/>
        <w:gridCol w:w="367"/>
        <w:gridCol w:w="890"/>
        <w:gridCol w:w="112"/>
        <w:gridCol w:w="143"/>
        <w:gridCol w:w="367"/>
        <w:gridCol w:w="890"/>
        <w:gridCol w:w="112"/>
        <w:gridCol w:w="143"/>
        <w:gridCol w:w="367"/>
        <w:gridCol w:w="890"/>
        <w:gridCol w:w="112"/>
        <w:gridCol w:w="143"/>
        <w:gridCol w:w="367"/>
        <w:gridCol w:w="890"/>
        <w:gridCol w:w="112"/>
      </w:tblGrid>
      <w:tr w:rsidR="00000000">
        <w:trPr>
          <w:jc w:val="center"/>
        </w:trPr>
        <w:tc>
          <w:tcPr>
            <w:tcW w:w="1600" w:type="pct"/>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1,672,829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1,440,897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1,591,332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1,404,631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1,156,607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7,675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and selling space. </w:t>
            </w:r>
          </w:p>
        </w:tc>
      </w:tr>
    </w:tbl>
    <w:p w:rsidR="00000000" w:rsidRDefault="003E5AFF">
      <w:pPr>
        <w:pStyle w:val="NormalWeb"/>
        <w:spacing w:before="120" w:beforeAutospacing="0" w:after="0" w:afterAutospacing="0"/>
      </w:pPr>
      <w:r>
        <w:rPr>
          <w:rFonts w:ascii="Arial" w:hAnsi="Arial" w:cs="Arial"/>
        </w:rPr>
        <w:t xml:space="preserve">The following table sets forth, for the periods indicated, the revenues from ordinary activities of our supermarkets per country: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46"/>
        <w:gridCol w:w="75"/>
        <w:gridCol w:w="367"/>
        <w:gridCol w:w="890"/>
        <w:gridCol w:w="112"/>
        <w:gridCol w:w="75"/>
        <w:gridCol w:w="367"/>
        <w:gridCol w:w="890"/>
        <w:gridCol w:w="112"/>
        <w:gridCol w:w="75"/>
        <w:gridCol w:w="367"/>
        <w:gridCol w:w="946"/>
        <w:gridCol w:w="112"/>
        <w:gridCol w:w="75"/>
        <w:gridCol w:w="367"/>
        <w:gridCol w:w="946"/>
        <w:gridCol w:w="112"/>
        <w:gridCol w:w="75"/>
        <w:gridCol w:w="367"/>
        <w:gridCol w:w="946"/>
        <w:gridCol w:w="112"/>
      </w:tblGrid>
      <w:tr w:rsidR="00000000">
        <w:trPr>
          <w:jc w:val="center"/>
        </w:trPr>
        <w:tc>
          <w:tcPr>
            <w:tcW w:w="1600" w:type="pct"/>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rPr>
              <w:t>Revenues from ordinary</w:t>
            </w:r>
            <w:r>
              <w:rPr>
                <w:rFonts w:ascii="Arial" w:eastAsia="Times New Roman" w:hAnsi="Arial" w:cs="Arial"/>
                <w:b/>
                <w:bCs/>
              </w:rPr>
              <w:br/>
              <w:t>activities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Chile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470,448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412,359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1,826,056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1,680,022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1,609,130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425,723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356,425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1,553,663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1,370,236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1,280,079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551,071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358,668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1,552,064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842,901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566,257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168,662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140,776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624,488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559,600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550,901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1,615,903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1,268,227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5,566,271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4,452,759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4,006,366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rPr>
        <w:t>At March </w:t>
      </w:r>
      <w:r>
        <w:rPr>
          <w:rFonts w:ascii="Arial" w:hAnsi="Arial" w:cs="Arial"/>
        </w:rPr>
        <w:t xml:space="preserve">31, 2012, we operated 191 supermarkets in Chile, which together had 466,354 square meters of total selling space. Of our 191 supermarkets in Chile, 32 were Jumbo hypermarkets and 159 were Santa Isabel supermarkets. </w:t>
      </w:r>
    </w:p>
    <w:p w:rsidR="00000000" w:rsidRDefault="003E5AFF">
      <w:pPr>
        <w:pStyle w:val="NormalWeb"/>
        <w:spacing w:before="120" w:beforeAutospacing="0" w:after="0" w:afterAutospacing="0"/>
      </w:pPr>
      <w:r>
        <w:rPr>
          <w:rFonts w:ascii="Arial" w:hAnsi="Arial" w:cs="Arial"/>
        </w:rPr>
        <w:t>The following table sets forth certain i</w:t>
      </w:r>
      <w:r>
        <w:rPr>
          <w:rFonts w:ascii="Arial" w:hAnsi="Arial" w:cs="Arial"/>
        </w:rPr>
        <w:t xml:space="preserve">nformation regarding our supermarkets in Chile as of and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094"/>
        <w:gridCol w:w="240"/>
        <w:gridCol w:w="367"/>
        <w:gridCol w:w="723"/>
        <w:gridCol w:w="112"/>
        <w:gridCol w:w="240"/>
        <w:gridCol w:w="367"/>
        <w:gridCol w:w="723"/>
        <w:gridCol w:w="112"/>
        <w:gridCol w:w="240"/>
        <w:gridCol w:w="367"/>
        <w:gridCol w:w="723"/>
        <w:gridCol w:w="112"/>
        <w:gridCol w:w="241"/>
        <w:gridCol w:w="367"/>
        <w:gridCol w:w="723"/>
        <w:gridCol w:w="112"/>
        <w:gridCol w:w="241"/>
        <w:gridCol w:w="367"/>
        <w:gridCol w:w="723"/>
        <w:gridCol w:w="112"/>
      </w:tblGrid>
      <w:tr w:rsidR="00000000">
        <w:trPr>
          <w:jc w:val="center"/>
        </w:trPr>
        <w:tc>
          <w:tcPr>
            <w:tcW w:w="2050" w:type="pct"/>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466,354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415,815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463,834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406,555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407,531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9,662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10,371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(decrease) in same-store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pPr>
      <w:r>
        <w:rPr>
          <w:sz w:val="15"/>
          <w:szCs w:val="15"/>
        </w:rP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- 180 - </w:t>
      </w:r>
    </w:p>
    <w:p w:rsidR="00000000" w:rsidRDefault="003E5AFF">
      <w:pPr>
        <w:rPr>
          <w:rFonts w:eastAsia="Times New Roman" w:cs="Times New Roman"/>
        </w:rPr>
      </w:pPr>
      <w:r>
        <w:rPr>
          <w:rFonts w:eastAsia="Times New Roman" w:cs="Times New Roman"/>
        </w:rPr>
        <w:pict>
          <v:rect id="_x0000_i1217" style="width:441.9pt;height:3pt" o:hralign="center" o:hrstd="t" o:hrnoshade="t" o:hr="t" fillcolor="#999" stroked="f"/>
        </w:pict>
      </w:r>
    </w:p>
    <w:p w:rsidR="00000000" w:rsidRDefault="003E5AFF">
      <w:pPr>
        <w:pStyle w:val="Heading5"/>
        <w:rPr>
          <w:rFonts w:eastAsia="Times New Roman" w:cs="Times New Roman"/>
        </w:rPr>
      </w:pPr>
      <w:hyperlink r:id="rId23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Jumbo</w:t>
      </w:r>
      <w:r>
        <w:rPr>
          <w:rFonts w:ascii="Arial" w:hAnsi="Arial" w:cs="Arial"/>
        </w:rPr>
        <w:t>.    </w:t>
      </w:r>
      <w:r>
        <w:rPr>
          <w:rFonts w:ascii="Arial" w:hAnsi="Arial" w:cs="Arial"/>
        </w:rPr>
        <w:t>Our Jumbo hypermarkets are our largest stores in Chile and have selling areas ranging from 4,720 square meters to 11,816 square meters. At March 31, 2012 we operated 32 Jumbo hypermarkets in Chile which, for the three-month period ended March 31, 2012, gen</w:t>
      </w:r>
      <w:r>
        <w:rPr>
          <w:rFonts w:ascii="Arial" w:hAnsi="Arial" w:cs="Arial"/>
        </w:rPr>
        <w:t xml:space="preserve">erated revenues from ordinary activities of Ch$266,208 million representing 12.3% of our consolidated revenues from ordinary activities for such period. </w:t>
      </w:r>
    </w:p>
    <w:p w:rsidR="00000000" w:rsidRDefault="003E5AFF">
      <w:pPr>
        <w:pStyle w:val="NormalWeb"/>
        <w:spacing w:before="120" w:beforeAutospacing="0" w:after="0" w:afterAutospacing="0"/>
      </w:pPr>
      <w:r>
        <w:rPr>
          <w:rFonts w:ascii="Arial" w:hAnsi="Arial" w:cs="Arial"/>
        </w:rPr>
        <w:t xml:space="preserve">The following table sets forth certain performance metrics related to our Jumbo hypermarkets in Chile </w:t>
      </w:r>
      <w:r>
        <w:rPr>
          <w:rFonts w:ascii="Arial" w:hAnsi="Arial" w:cs="Arial"/>
        </w:rPr>
        <w:t xml:space="preserve">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003"/>
        <w:gridCol w:w="111"/>
        <w:gridCol w:w="64"/>
        <w:gridCol w:w="826"/>
        <w:gridCol w:w="128"/>
        <w:gridCol w:w="166"/>
        <w:gridCol w:w="64"/>
        <w:gridCol w:w="826"/>
        <w:gridCol w:w="112"/>
        <w:gridCol w:w="111"/>
        <w:gridCol w:w="56"/>
        <w:gridCol w:w="723"/>
        <w:gridCol w:w="112"/>
        <w:gridCol w:w="111"/>
        <w:gridCol w:w="56"/>
        <w:gridCol w:w="723"/>
        <w:gridCol w:w="112"/>
        <w:gridCol w:w="111"/>
        <w:gridCol w:w="56"/>
        <w:gridCol w:w="723"/>
        <w:gridCol w:w="112"/>
      </w:tblGrid>
      <w:tr w:rsidR="00000000">
        <w:trPr>
          <w:jc w:val="center"/>
        </w:trPr>
        <w:tc>
          <w:tcPr>
            <w:tcW w:w="270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242,374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218,349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241,439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217,414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213,016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rPr>
        <w:t xml:space="preserve">Our Jumbo hypermarkets are primarily oriented towards middle and upper-middle income consumers and designed to provide a </w:t>
      </w:r>
      <w:r>
        <w:rPr>
          <w:rFonts w:ascii="Arial" w:hAnsi="Arial" w:cs="Arial"/>
        </w:rPr>
        <w:t>_one-stop_ shopping experience by offering a wide selection of quality products with a high level of service. We tailor the product mix of each Jumbo hypermarket according to the preferences of consumers of each specific community. In recent years, we beli</w:t>
      </w:r>
      <w:r>
        <w:rPr>
          <w:rFonts w:ascii="Arial" w:hAnsi="Arial" w:cs="Arial"/>
        </w:rPr>
        <w:t>eve Chilean consumers have shown an increasing preference for food stores that offer not only a wide variety of traditional food and non-food items, but also an expanded assortment of prepared items and fresh fruits and vegetables. To respond to this trend</w:t>
      </w:r>
      <w:r>
        <w:rPr>
          <w:rFonts w:ascii="Arial" w:hAnsi="Arial" w:cs="Arial"/>
        </w:rPr>
        <w:t>, we have decided to upgrade, and continue to upgrade existing departments with product categories, such as the textiles, electronics and home appliance departments. This strategy allows us to provide consumers with a wider selection of food products and s</w:t>
      </w:r>
      <w:r>
        <w:rPr>
          <w:rFonts w:ascii="Arial" w:hAnsi="Arial" w:cs="Arial"/>
        </w:rPr>
        <w:t xml:space="preserve">ervices, while shifting our sales mix toward higher-margin products. </w:t>
      </w:r>
    </w:p>
    <w:p w:rsidR="00000000" w:rsidRDefault="003E5AFF">
      <w:pPr>
        <w:pStyle w:val="NormalWeb"/>
        <w:spacing w:before="120" w:beforeAutospacing="0" w:after="0" w:afterAutospacing="0"/>
      </w:pPr>
      <w:r>
        <w:rPr>
          <w:rFonts w:ascii="Arial" w:hAnsi="Arial" w:cs="Arial"/>
        </w:rPr>
        <w:t>Our Jumbo hypermarkets had an average of 44 checkouts and a staff of approximately 536. In 2011, our Jumbo hypermarkets served approximately 71 </w:t>
      </w:r>
      <w:r>
        <w:rPr>
          <w:rFonts w:ascii="Arial" w:hAnsi="Arial" w:cs="Arial"/>
        </w:rPr>
        <w:t xml:space="preserve">million clients, each of whom spent an average of Ch$14,500 per visit. Jumbo hypermarkets offer the widest assortment of products of any of our formats, averaging more than 40,000 stock-keeping units (_SKUs_) per store. Currently, the largest of our Jumbo </w:t>
      </w:r>
      <w:r>
        <w:rPr>
          <w:rFonts w:ascii="Arial" w:hAnsi="Arial" w:cs="Arial"/>
        </w:rPr>
        <w:t xml:space="preserve">stores is located in our shopping center located in Las Condes, Santiago, Chile, which has 10,871 square meters of selling space and 62 checkouts with POS technology and advanced conveyor belts. All Jumbo hypermarkets offer easily accessible car parking. </w:t>
      </w:r>
    </w:p>
    <w:p w:rsidR="00000000" w:rsidRDefault="003E5AFF">
      <w:pPr>
        <w:pStyle w:val="NormalWeb"/>
        <w:spacing w:before="120" w:beforeAutospacing="0" w:after="0" w:afterAutospacing="0"/>
      </w:pPr>
      <w:r>
        <w:rPr>
          <w:rFonts w:ascii="Arial" w:hAnsi="Arial" w:cs="Arial"/>
        </w:rPr>
        <w:t>In terms of food selection, our Jumbo hypermarkets offer a full selection of attractively displayed fresh fruits and vegetables, meat, poultry, fish, and dairy products. In addition, they feature higher margin specialty departments such as full-service del</w:t>
      </w:r>
      <w:r>
        <w:rPr>
          <w:rFonts w:ascii="Arial" w:hAnsi="Arial" w:cs="Arial"/>
        </w:rPr>
        <w:t>icatessens, fresh seafood and bakery departments. They also offer products such as frozen foods and wine and spirits, as well as non-food items such as cosmetics and household goods. For the year ended December 31, 2011, approximately 82.0% and 18.0% of ou</w:t>
      </w:r>
      <w:r>
        <w:rPr>
          <w:rFonts w:ascii="Arial" w:hAnsi="Arial" w:cs="Arial"/>
        </w:rPr>
        <w:t xml:space="preserve">r Jumbo hypermarket revenues from ordinary activities were from food and non-food products, respectively. </w:t>
      </w:r>
    </w:p>
    <w:p w:rsidR="00000000" w:rsidRDefault="003E5AFF">
      <w:pPr>
        <w:pStyle w:val="NormalWeb"/>
        <w:spacing w:before="120" w:beforeAutospacing="0" w:after="0" w:afterAutospacing="0"/>
      </w:pPr>
      <w:r>
        <w:rPr>
          <w:rFonts w:ascii="Arial" w:hAnsi="Arial" w:cs="Arial"/>
        </w:rPr>
        <w:t>For the year ended December 31, 2011, cash and cash equivalent sales accounted for approximately 58.0% of our hypermarket sales in Chile for the year</w:t>
      </w:r>
      <w:r>
        <w:rPr>
          <w:rFonts w:ascii="Arial" w:hAnsi="Arial" w:cs="Arial"/>
        </w:rPr>
        <w:t xml:space="preserve"> ended December 31, 2011, while credit card sales including our M_s card accounted for approximately 35.0% during the same period. During the quarter ended December 31, 2011, approximately 20.0% of our Jumbo sales in Chile were made with one of our M_s cre</w:t>
      </w:r>
      <w:r>
        <w:rPr>
          <w:rFonts w:ascii="Arial" w:hAnsi="Arial" w:cs="Arial"/>
        </w:rPr>
        <w:t xml:space="preserve">dit cards. We have not suffered any material losses in connection with our credit sales. See __Financial Services._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- 181 - </w:t>
      </w:r>
    </w:p>
    <w:p w:rsidR="00000000" w:rsidRDefault="003E5AFF">
      <w:pPr>
        <w:rPr>
          <w:rFonts w:eastAsia="Times New Roman" w:cs="Times New Roman"/>
        </w:rPr>
      </w:pPr>
      <w:r>
        <w:rPr>
          <w:rFonts w:eastAsia="Times New Roman" w:cs="Times New Roman"/>
        </w:rPr>
        <w:pict>
          <v:rect id="_x0000_i1218" style="width:441.9pt;height:3pt" o:hralign="center" o:hrstd="t" o:hrnoshade="t" o:hr="t" fillcolor="#999" stroked="f"/>
        </w:pict>
      </w:r>
    </w:p>
    <w:p w:rsidR="00000000" w:rsidRDefault="003E5AFF">
      <w:pPr>
        <w:pStyle w:val="Heading5"/>
        <w:rPr>
          <w:rFonts w:eastAsia="Times New Roman" w:cs="Times New Roman"/>
        </w:rPr>
      </w:pPr>
      <w:hyperlink r:id="rId23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Santa Isabel</w:t>
      </w:r>
      <w:r>
        <w:rPr>
          <w:rFonts w:ascii="Arial" w:hAnsi="Arial" w:cs="Arial"/>
        </w:rPr>
        <w:t>.    At March 31, 2012, we operated 159 Santa Isabel supermarkets in Chile, which have selling areas ranging from 350 square me</w:t>
      </w:r>
      <w:r>
        <w:rPr>
          <w:rFonts w:ascii="Arial" w:hAnsi="Arial" w:cs="Arial"/>
        </w:rPr>
        <w:t xml:space="preserve">ters to 4,780 square meters. For the three-month period ended March 31, 2012, our Santa Isabel stores generated revenues from ordinary activities of Ch$204,240 million, representing 9.4% of our consolidated revenues from ordinary activities. </w:t>
      </w:r>
    </w:p>
    <w:p w:rsidR="00000000" w:rsidRDefault="003E5AFF">
      <w:pPr>
        <w:pStyle w:val="NormalWeb"/>
        <w:spacing w:before="120" w:beforeAutospacing="0" w:after="0" w:afterAutospacing="0"/>
      </w:pPr>
      <w:r>
        <w:rPr>
          <w:rFonts w:ascii="Arial" w:hAnsi="Arial" w:cs="Arial"/>
        </w:rPr>
        <w:t>The following</w:t>
      </w:r>
      <w:r>
        <w:rPr>
          <w:rFonts w:ascii="Arial" w:hAnsi="Arial" w:cs="Arial"/>
        </w:rPr>
        <w:t xml:space="preserve"> table sets forth certain performance metrics related to our Santa Isabel supermarkets in Chile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037"/>
        <w:gridCol w:w="111"/>
        <w:gridCol w:w="65"/>
        <w:gridCol w:w="835"/>
        <w:gridCol w:w="129"/>
        <w:gridCol w:w="111"/>
        <w:gridCol w:w="65"/>
        <w:gridCol w:w="835"/>
        <w:gridCol w:w="112"/>
        <w:gridCol w:w="111"/>
        <w:gridCol w:w="56"/>
        <w:gridCol w:w="723"/>
        <w:gridCol w:w="112"/>
        <w:gridCol w:w="111"/>
        <w:gridCol w:w="56"/>
        <w:gridCol w:w="723"/>
        <w:gridCol w:w="112"/>
        <w:gridCol w:w="111"/>
        <w:gridCol w:w="56"/>
        <w:gridCol w:w="723"/>
        <w:gridCol w:w="112"/>
      </w:tblGrid>
      <w:tr w:rsidR="00000000">
        <w:trPr>
          <w:jc w:val="center"/>
        </w:trPr>
        <w:tc>
          <w:tcPr>
            <w:tcW w:w="27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w:t>
            </w:r>
            <w:r>
              <w:rPr>
                <w:rFonts w:ascii="Arial" w:eastAsia="Times New Roman" w:hAnsi="Arial" w:cs="Arial"/>
                <w:b/>
                <w:bCs/>
              </w:rPr>
              <w:t>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223,980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197,466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222,395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190,905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194,515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rPr>
        <w:t>The target market of our Santa Isabel stores is primarily the low- to middle-income segment of the Chilean population. Our Santa Isabel stores sell a wide variety of food products and general merchandise items similar to that offered by our Jumbo hypermark</w:t>
      </w:r>
      <w:r>
        <w:rPr>
          <w:rFonts w:ascii="Arial" w:hAnsi="Arial" w:cs="Arial"/>
        </w:rPr>
        <w:t>ets; however, Santa Isabel stores also offer higher quality merchandise, high-quality service and convenient locations. In addition, certain Santa Isabel stores feature higher margin specialty departments such as full service delicatessens, prepared foods,</w:t>
      </w:r>
      <w:r>
        <w:rPr>
          <w:rFonts w:ascii="Arial" w:hAnsi="Arial" w:cs="Arial"/>
        </w:rPr>
        <w:t xml:space="preserve"> fresh seafood and bakery departments. Santa Isabel also offers products such as alcohol, cosmetics, household and other non-food items. For the year ended December 31, 2011, food products represented approximately 95.0% of the revenues from ordinary activ</w:t>
      </w:r>
      <w:r>
        <w:rPr>
          <w:rFonts w:ascii="Arial" w:hAnsi="Arial" w:cs="Arial"/>
        </w:rPr>
        <w:t xml:space="preserve">ities of our Santa Isabel stores. </w:t>
      </w:r>
    </w:p>
    <w:p w:rsidR="00000000" w:rsidRDefault="003E5AFF">
      <w:pPr>
        <w:pStyle w:val="NormalWeb"/>
        <w:spacing w:before="120" w:beforeAutospacing="0" w:after="0" w:afterAutospacing="0"/>
      </w:pPr>
      <w:r>
        <w:rPr>
          <w:rFonts w:ascii="Arial" w:hAnsi="Arial" w:cs="Arial"/>
        </w:rPr>
        <w:t xml:space="preserve">Our Santa Isabel supermarkets have an average selling area of 1,459 square meters. Our Santa Isabel supermarkets had approximately 13 checkouts, with an average of 12,000 SKUs and had an average of 111 employees </w:t>
      </w:r>
      <w:r>
        <w:rPr>
          <w:rFonts w:ascii="Arial" w:hAnsi="Arial" w:cs="Arial"/>
        </w:rPr>
        <w:t>per store. Most of our Santa Isabel supermarkets have areas dedicated to customer parking. Our Santa Isabel stores served approximately 150 million clients in 2011 (measured in number of tickets issued), each of whom spent an average of Ch$5,400 per visit.</w:t>
      </w:r>
      <w:r>
        <w:rPr>
          <w:rFonts w:ascii="Arial" w:hAnsi="Arial" w:cs="Arial"/>
        </w:rPr>
        <w:t xml:space="preserve"> </w:t>
      </w:r>
    </w:p>
    <w:p w:rsidR="00000000" w:rsidRDefault="003E5AFF">
      <w:pPr>
        <w:pStyle w:val="NormalWeb"/>
        <w:spacing w:before="120" w:beforeAutospacing="0" w:after="0" w:afterAutospacing="0"/>
      </w:pPr>
      <w:r>
        <w:rPr>
          <w:rFonts w:ascii="Arial" w:hAnsi="Arial" w:cs="Arial"/>
        </w:rPr>
        <w:t>For the year ended December 31, 2011, cash and cash equivalent sales accounted for approximately 80.0% of our Santa Isabel sales in Chile while credit sales, including our M_s card, accounted for approximately 14.0% For the quarter ending December 31, 20</w:t>
      </w:r>
      <w:r>
        <w:rPr>
          <w:rFonts w:ascii="Arial" w:hAnsi="Arial" w:cs="Arial"/>
        </w:rPr>
        <w:t xml:space="preserve">11, approximately 8.0% of our Santa Isabel sales were made with one of our M_s credit cards. See __Financial Services._ </w:t>
      </w:r>
    </w:p>
    <w:p w:rsidR="00000000" w:rsidRDefault="003E5AFF">
      <w:pPr>
        <w:pStyle w:val="NormalWeb"/>
        <w:spacing w:before="240" w:beforeAutospacing="0" w:after="0" w:afterAutospacing="0"/>
      </w:pPr>
      <w:r>
        <w:rPr>
          <w:rFonts w:ascii="Arial" w:hAnsi="Arial" w:cs="Arial"/>
          <w:b/>
          <w:bCs/>
          <w:i/>
          <w:iCs/>
        </w:rPr>
        <w:t xml:space="preserve">Argentina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We operated 272 supermarkets in Argentina at March 31, 2012, which together had 506,987 square meters of total sell</w:t>
      </w:r>
      <w:r>
        <w:rPr>
          <w:rFonts w:ascii="Arial" w:hAnsi="Arial" w:cs="Arial"/>
        </w:rPr>
        <w:t xml:space="preserve">ing space. Of our 272 supermarkets in Argentina, 22 were Jumbo stores and 250 were Disco and Super Vea stores at March 31, 2012.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- 182 - </w:t>
      </w:r>
    </w:p>
    <w:p w:rsidR="00000000" w:rsidRDefault="003E5AFF">
      <w:pPr>
        <w:rPr>
          <w:rFonts w:eastAsia="Times New Roman" w:cs="Times New Roman"/>
        </w:rPr>
      </w:pPr>
      <w:r>
        <w:rPr>
          <w:rFonts w:eastAsia="Times New Roman" w:cs="Times New Roman"/>
        </w:rPr>
        <w:pict>
          <v:rect id="_x0000_i1219" style="width:441.9pt;height:3pt" o:hralign="center" o:hrstd="t" o:hrnoshade="t" o:hr="t" fillcolor="#999" stroked="f"/>
        </w:pict>
      </w:r>
    </w:p>
    <w:p w:rsidR="00000000" w:rsidRDefault="003E5AFF">
      <w:pPr>
        <w:pStyle w:val="Heading5"/>
        <w:rPr>
          <w:rFonts w:eastAsia="Times New Roman" w:cs="Times New Roman"/>
        </w:rPr>
      </w:pPr>
      <w:hyperlink r:id="rId23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following table sets forth certain information regarding ou</w:t>
      </w:r>
      <w:r>
        <w:rPr>
          <w:rFonts w:ascii="Arial" w:hAnsi="Arial" w:cs="Arial"/>
        </w:rPr>
        <w:t xml:space="preserve">r supermarkets in Argentina as of and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76"/>
        <w:gridCol w:w="264"/>
        <w:gridCol w:w="367"/>
        <w:gridCol w:w="723"/>
        <w:gridCol w:w="112"/>
        <w:gridCol w:w="264"/>
        <w:gridCol w:w="367"/>
        <w:gridCol w:w="723"/>
        <w:gridCol w:w="112"/>
        <w:gridCol w:w="264"/>
        <w:gridCol w:w="367"/>
        <w:gridCol w:w="723"/>
        <w:gridCol w:w="112"/>
        <w:gridCol w:w="264"/>
        <w:gridCol w:w="367"/>
        <w:gridCol w:w="723"/>
        <w:gridCol w:w="112"/>
        <w:gridCol w:w="264"/>
        <w:gridCol w:w="367"/>
        <w:gridCol w:w="723"/>
        <w:gridCol w:w="112"/>
      </w:tblGrid>
      <w:tr w:rsidR="00000000">
        <w:trPr>
          <w:jc w:val="center"/>
        </w:trPr>
        <w:tc>
          <w:tcPr>
            <w:tcW w:w="1850" w:type="pct"/>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val="restart"/>
            <w:tcBorders>
              <w:top w:val="single" w:sz="12" w:space="0" w:color="000000"/>
            </w:tcBorders>
            <w:vAlign w:val="bottom"/>
            <w:hideMark/>
          </w:tcPr>
          <w:p w:rsidR="00000000" w:rsidRDefault="003E5AFF">
            <w:pPr>
              <w:pStyle w:val="NormalWeb"/>
              <w:spacing w:before="0" w:beforeAutospacing="0" w:after="0" w:afterAutospacing="0"/>
              <w:jc w:val="right"/>
            </w:pPr>
            <w:r>
              <w:rPr>
                <w:rFonts w:ascii="Arial" w:hAnsi="Arial" w:cs="Arial"/>
                <w:b/>
                <w:bCs/>
              </w:rPr>
              <w:t>Q1</w:t>
            </w:r>
          </w:p>
          <w:p w:rsidR="00000000" w:rsidRDefault="003E5AFF">
            <w:pPr>
              <w:pStyle w:val="NormalWeb"/>
              <w:spacing w:before="0" w:beforeAutospacing="0" w:after="15" w:afterAutospacing="0"/>
              <w:jc w:val="right"/>
            </w:pPr>
            <w:r>
              <w:rPr>
                <w:rFonts w:ascii="Arial" w:hAnsi="Arial" w:cs="Arial"/>
                <w:b/>
                <w:bCs/>
              </w:rPr>
              <w:t>2012</w:t>
            </w:r>
          </w:p>
        </w:tc>
        <w:tc>
          <w:tcPr>
            <w:tcW w:w="0" w:type="auto"/>
            <w:vMerge w:val="restart"/>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val="restart"/>
            <w:tcBorders>
              <w:top w:val="single" w:sz="12" w:space="0" w:color="000000"/>
            </w:tcBorders>
            <w:vAlign w:val="bottom"/>
            <w:hideMark/>
          </w:tcPr>
          <w:p w:rsidR="00000000" w:rsidRDefault="003E5AFF">
            <w:pPr>
              <w:pStyle w:val="NormalWeb"/>
              <w:spacing w:before="0" w:beforeAutospacing="0" w:after="0" w:afterAutospacing="0"/>
              <w:jc w:val="right"/>
            </w:pPr>
            <w:r>
              <w:rPr>
                <w:rFonts w:ascii="Arial" w:hAnsi="Arial" w:cs="Arial"/>
                <w:b/>
                <w:bCs/>
              </w:rPr>
              <w:t>Q1</w:t>
            </w:r>
          </w:p>
          <w:p w:rsidR="00000000" w:rsidRDefault="003E5AFF">
            <w:pPr>
              <w:pStyle w:val="NormalWeb"/>
              <w:spacing w:before="0" w:beforeAutospacing="0" w:after="15" w:afterAutospacing="0"/>
              <w:jc w:val="right"/>
            </w:pPr>
            <w:r>
              <w:rPr>
                <w:rFonts w:ascii="Arial" w:hAnsi="Arial" w:cs="Arial"/>
                <w:b/>
                <w:bCs/>
              </w:rPr>
              <w:t>2011</w:t>
            </w:r>
          </w:p>
        </w:tc>
        <w:tc>
          <w:tcPr>
            <w:tcW w:w="0" w:type="auto"/>
            <w:vMerge w:val="restart"/>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tcBorders>
              <w:top w:val="single" w:sz="12" w:space="0" w:color="000000"/>
            </w:tcBorders>
            <w:vAlign w:val="center"/>
            <w:hideMark/>
          </w:tcPr>
          <w:p w:rsidR="00000000" w:rsidRDefault="003E5AFF">
            <w:pPr>
              <w:rPr>
                <w:rFonts w:cs="Times New Roman"/>
              </w:rPr>
            </w:pPr>
          </w:p>
        </w:tc>
        <w:tc>
          <w:tcPr>
            <w:tcW w:w="0" w:type="auto"/>
            <w:vMerge/>
            <w:tcBorders>
              <w:top w:val="single" w:sz="12" w:space="0" w:color="000000"/>
            </w:tcBorders>
            <w:vAlign w:val="center"/>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Merge/>
            <w:tcBorders>
              <w:top w:val="single" w:sz="12" w:space="0" w:color="000000"/>
            </w:tcBorders>
            <w:vAlign w:val="center"/>
            <w:hideMark/>
          </w:tcPr>
          <w:p w:rsidR="00000000" w:rsidRDefault="003E5AFF">
            <w:pPr>
              <w:rPr>
                <w:rFonts w:cs="Times New Roman"/>
              </w:rPr>
            </w:pPr>
          </w:p>
        </w:tc>
        <w:tc>
          <w:tcPr>
            <w:tcW w:w="0" w:type="auto"/>
            <w:vMerge/>
            <w:tcBorders>
              <w:top w:val="single" w:sz="12" w:space="0" w:color="000000"/>
            </w:tcBorders>
            <w:vAlign w:val="center"/>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506,987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471,853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502,682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455,808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443,809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0.84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(decrease) in same-store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spacing w:before="120" w:beforeAutospacing="0" w:after="0" w:afterAutospacing="0"/>
      </w:pPr>
      <w:r>
        <w:rPr>
          <w:rFonts w:ascii="Arial" w:hAnsi="Arial" w:cs="Arial"/>
        </w:rPr>
        <w:t>For the year ended December </w:t>
      </w:r>
      <w:r>
        <w:rPr>
          <w:rFonts w:ascii="Arial" w:hAnsi="Arial" w:cs="Arial"/>
        </w:rPr>
        <w:t xml:space="preserve">31, 2011, cash and cash equivalent sales accounted for approximately 41.3% of our supermarket sales in Argentina while credit sales, including our M_s card, accounted for approximately 58.3%. For the year ended December 31, 2011, approximately 7.8% of our </w:t>
      </w:r>
      <w:r>
        <w:rPr>
          <w:rFonts w:ascii="Arial" w:hAnsi="Arial" w:cs="Arial"/>
        </w:rPr>
        <w:t xml:space="preserve">sales in Argentina were made with one of our M_s credit cards. See __Financial Services._ </w:t>
      </w:r>
    </w:p>
    <w:p w:rsidR="00000000" w:rsidRDefault="003E5AFF">
      <w:pPr>
        <w:pStyle w:val="NormalWeb"/>
        <w:spacing w:before="120" w:beforeAutospacing="0" w:after="0" w:afterAutospacing="0"/>
      </w:pPr>
      <w:r>
        <w:rPr>
          <w:rFonts w:ascii="Arial" w:hAnsi="Arial" w:cs="Arial"/>
          <w:i/>
          <w:iCs/>
        </w:rPr>
        <w:t>Jumbo</w:t>
      </w:r>
      <w:r>
        <w:rPr>
          <w:rFonts w:ascii="Arial" w:hAnsi="Arial" w:cs="Arial"/>
        </w:rPr>
        <w:t xml:space="preserve">.    We opened our first Jumbo hypermarket in Argentina in 1982. Our Jumbo hypermarkets are our largest stores in Argentina and have selling areas ranging from </w:t>
      </w:r>
      <w:r>
        <w:rPr>
          <w:rFonts w:ascii="Arial" w:hAnsi="Arial" w:cs="Arial"/>
        </w:rPr>
        <w:t>849 square meters to 13,337 square meters, with an average of 7,700 square meters of selling space. As of March 31, 2012, we operated 22 Jumbo hypermarkets in Argentina, 15 of which are located in the Buenos Aires metropolitan area. For the three-month per</w:t>
      </w:r>
      <w:r>
        <w:rPr>
          <w:rFonts w:ascii="Arial" w:hAnsi="Arial" w:cs="Arial"/>
        </w:rPr>
        <w:t xml:space="preserve">iod ended March 31, 2012, our Jumbo hypermarkets in Argentina generated revenues from ordinary activities of Ch$102,173 million, representing 4.71% of our consolidated revenues from ordinary activities for such period. </w:t>
      </w:r>
    </w:p>
    <w:p w:rsidR="00000000" w:rsidRDefault="003E5AFF">
      <w:pPr>
        <w:pStyle w:val="NormalWeb"/>
        <w:spacing w:before="120" w:beforeAutospacing="0" w:after="0" w:afterAutospacing="0"/>
      </w:pPr>
      <w:r>
        <w:rPr>
          <w:rFonts w:ascii="Arial" w:hAnsi="Arial" w:cs="Arial"/>
        </w:rPr>
        <w:t>The following table sets forth certa</w:t>
      </w:r>
      <w:r>
        <w:rPr>
          <w:rFonts w:ascii="Arial" w:hAnsi="Arial" w:cs="Arial"/>
        </w:rPr>
        <w:t xml:space="preserve">in performance metrics related to our Jumbo hypermarkets in Argentina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037"/>
        <w:gridCol w:w="111"/>
        <w:gridCol w:w="65"/>
        <w:gridCol w:w="835"/>
        <w:gridCol w:w="129"/>
        <w:gridCol w:w="111"/>
        <w:gridCol w:w="65"/>
        <w:gridCol w:w="835"/>
        <w:gridCol w:w="112"/>
        <w:gridCol w:w="111"/>
        <w:gridCol w:w="56"/>
        <w:gridCol w:w="723"/>
        <w:gridCol w:w="112"/>
        <w:gridCol w:w="111"/>
        <w:gridCol w:w="56"/>
        <w:gridCol w:w="723"/>
        <w:gridCol w:w="112"/>
        <w:gridCol w:w="111"/>
        <w:gridCol w:w="56"/>
        <w:gridCol w:w="723"/>
        <w:gridCol w:w="112"/>
      </w:tblGrid>
      <w:tr w:rsidR="00000000">
        <w:trPr>
          <w:jc w:val="center"/>
        </w:trPr>
        <w:tc>
          <w:tcPr>
            <w:tcW w:w="27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163,903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145,474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163,902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149,991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136,265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rPr>
        <w:t>As in Chile, the target market of our Jumbo hypermarkets in Argentina is primarily the middle to upper-middle income segment of the Argentine population. Our Jumbo hypermarkets are generally open 14 to 15 hours per day, depending on location, and have flex</w:t>
      </w:r>
      <w:r>
        <w:rPr>
          <w:rFonts w:ascii="Arial" w:hAnsi="Arial" w:cs="Arial"/>
        </w:rPr>
        <w:t>ible closing hours to accommodate the requirements of the local community. In recent years, upper- and middle-class consumers have shown an increasing preference for food stores that offer not only a wide variety of traditional food and non-food items, but</w:t>
      </w:r>
      <w:r>
        <w:rPr>
          <w:rFonts w:ascii="Arial" w:hAnsi="Arial" w:cs="Arial"/>
        </w:rPr>
        <w:t xml:space="preserve"> also an expanded assortment of prepared items and fresh fruits and vegetables. Thus, we choose our product mix according to the socioeconomic make-up of the customers at each hypermarket. Each of our Jumbo hypermarkets in Argentina has an area dedicated t</w:t>
      </w:r>
      <w:r>
        <w:rPr>
          <w:rFonts w:ascii="Arial" w:hAnsi="Arial" w:cs="Arial"/>
        </w:rPr>
        <w:t>o customer parking. Our Jumbo hypermarkets had an average of 31 checkouts and approximately 207 staff. Jumbo hypermarkets offer the widest assortment of products of any of our formats in Argentina, averaging more than 55,000 SKUs per store in 2011. Our Jum</w:t>
      </w:r>
      <w:r>
        <w:rPr>
          <w:rFonts w:ascii="Arial" w:hAnsi="Arial" w:cs="Arial"/>
        </w:rPr>
        <w:t xml:space="preserve">bo hypermarkets served approximately 20.6 million clients in 2011 (measured in number of tickets issued), each of whom spent an average of Ch$20,000 per visit.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- 183 - </w:t>
      </w:r>
    </w:p>
    <w:p w:rsidR="00000000" w:rsidRDefault="003E5AFF">
      <w:pPr>
        <w:rPr>
          <w:rFonts w:eastAsia="Times New Roman" w:cs="Times New Roman"/>
        </w:rPr>
      </w:pPr>
      <w:r>
        <w:rPr>
          <w:rFonts w:eastAsia="Times New Roman" w:cs="Times New Roman"/>
        </w:rPr>
        <w:pict>
          <v:rect id="_x0000_i1220" style="width:441.9pt;height:3pt" o:hralign="center" o:hrstd="t" o:hrnoshade="t" o:hr="t" fillcolor="#999" stroked="f"/>
        </w:pict>
      </w:r>
    </w:p>
    <w:p w:rsidR="00000000" w:rsidRDefault="003E5AFF">
      <w:pPr>
        <w:pStyle w:val="Heading5"/>
        <w:rPr>
          <w:rFonts w:eastAsia="Times New Roman" w:cs="Times New Roman"/>
        </w:rPr>
      </w:pPr>
      <w:hyperlink r:id="rId23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As in Chile, our Jumbo hypermarkets in Argentina offer a wide range of food and non-food items, including fresh fruits and vegetables, baked goods, fresh meats and other groce</w:t>
      </w:r>
      <w:r>
        <w:rPr>
          <w:rFonts w:ascii="Arial" w:hAnsi="Arial" w:cs="Arial"/>
        </w:rPr>
        <w:t xml:space="preserve">ry items. We select our products according to quality and value rather than looking to offer the lowest price products in the market. </w:t>
      </w:r>
    </w:p>
    <w:p w:rsidR="00000000" w:rsidRDefault="003E5AFF">
      <w:pPr>
        <w:pStyle w:val="NormalWeb"/>
        <w:spacing w:before="120" w:beforeAutospacing="0" w:after="0" w:afterAutospacing="0"/>
      </w:pPr>
      <w:r>
        <w:rPr>
          <w:rFonts w:ascii="Arial" w:hAnsi="Arial" w:cs="Arial"/>
          <w:i/>
          <w:iCs/>
        </w:rPr>
        <w:t>Disco and Super Vea</w:t>
      </w:r>
      <w:r>
        <w:rPr>
          <w:rFonts w:ascii="Arial" w:hAnsi="Arial" w:cs="Arial"/>
        </w:rPr>
        <w:t>.    Disco was founded in 1961 as a small grocery store and was acquired by Ahold in 1998. We acquired</w:t>
      </w:r>
      <w:r>
        <w:rPr>
          <w:rFonts w:ascii="Arial" w:hAnsi="Arial" w:cs="Arial"/>
        </w:rPr>
        <w:t xml:space="preserve"> Disco on November 1, 2004 for approximately U.S.$315 million. This acquisition added 234 strategically located supermarkets to our operations in Argentina, thus adding an important presence in the city of Buenos Aires. Disco_s strategy has been to segment</w:t>
      </w:r>
      <w:r>
        <w:rPr>
          <w:rFonts w:ascii="Arial" w:hAnsi="Arial" w:cs="Arial"/>
        </w:rPr>
        <w:t xml:space="preserve"> its stores into _service-oriented_ (Disco) and _price-oriented_ (Super Vea) formats. Disco also operates a virtual supermarket (Disco Virtual) which allows customers to place orders by telephone and over the internet for home delivery in the Buenos Aires </w:t>
      </w:r>
      <w:r>
        <w:rPr>
          <w:rFonts w:ascii="Arial" w:hAnsi="Arial" w:cs="Arial"/>
        </w:rPr>
        <w:t xml:space="preserve">and C_rdoba metropolitan areas. For the three-month period ended March 31, 2012, our Disco and Super Vea stores generated revenues from ordinary activities of Ch$323,549 million, representing 14.9% of our consolidated revenues from ordinary activities for </w:t>
      </w:r>
      <w:r>
        <w:rPr>
          <w:rFonts w:ascii="Arial" w:hAnsi="Arial" w:cs="Arial"/>
        </w:rPr>
        <w:t xml:space="preserve">such period. </w:t>
      </w:r>
    </w:p>
    <w:p w:rsidR="00000000" w:rsidRDefault="003E5AFF">
      <w:pPr>
        <w:pStyle w:val="NormalWeb"/>
        <w:spacing w:before="120" w:beforeAutospacing="0" w:after="0" w:afterAutospacing="0"/>
      </w:pPr>
      <w:r>
        <w:rPr>
          <w:rFonts w:ascii="Arial" w:hAnsi="Arial" w:cs="Arial"/>
        </w:rPr>
        <w:t xml:space="preserve">The following table sets forth certain performance metrics related to our Disco and Super Vea supermarkets in Argentina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037"/>
        <w:gridCol w:w="111"/>
        <w:gridCol w:w="65"/>
        <w:gridCol w:w="835"/>
        <w:gridCol w:w="129"/>
        <w:gridCol w:w="111"/>
        <w:gridCol w:w="65"/>
        <w:gridCol w:w="835"/>
        <w:gridCol w:w="112"/>
        <w:gridCol w:w="111"/>
        <w:gridCol w:w="56"/>
        <w:gridCol w:w="723"/>
        <w:gridCol w:w="112"/>
        <w:gridCol w:w="111"/>
        <w:gridCol w:w="56"/>
        <w:gridCol w:w="723"/>
        <w:gridCol w:w="112"/>
        <w:gridCol w:w="111"/>
        <w:gridCol w:w="56"/>
        <w:gridCol w:w="723"/>
        <w:gridCol w:w="112"/>
      </w:tblGrid>
      <w:tr w:rsidR="00000000">
        <w:trPr>
          <w:jc w:val="center"/>
        </w:trPr>
        <w:tc>
          <w:tcPr>
            <w:tcW w:w="27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343,084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326,379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338,780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264,772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306,538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rPr>
        <w:t>The target market of our Disco stores is primarily the middle- and high-income segment of the Argentine population. Disco has a service-oriented format and offers a wide variety of products and services to our customers. This format caters to more affluent</w:t>
      </w:r>
      <w:r>
        <w:rPr>
          <w:rFonts w:ascii="Arial" w:hAnsi="Arial" w:cs="Arial"/>
        </w:rPr>
        <w:t xml:space="preserve"> customers who are willing to pay a premium for higher quality products, a more personalized service and a broader product assortment. To emphasize the service concept, Disco offers a wide variety of services, including internet purchasing options (Disco V</w:t>
      </w:r>
      <w:r>
        <w:rPr>
          <w:rFonts w:ascii="Arial" w:hAnsi="Arial" w:cs="Arial"/>
        </w:rPr>
        <w:t>irtual), photo developing services (Disco Foto), an in-store credit card (Discocard or V_lida), a loyalty program (Discoplus) and a system for customers to pay their utility bills at the checkout (Discopago). Our Disco supermarkets had an average selling s</w:t>
      </w:r>
      <w:r>
        <w:rPr>
          <w:rFonts w:ascii="Arial" w:hAnsi="Arial" w:cs="Arial"/>
        </w:rPr>
        <w:t>pace of 1,300 square meters, approximately 11 checkouts, and around 32,000 SKUs and approximately 54 employees per store. Our Disco supermarkets served approximately 125.8 million clients in 2011 (measured in number of tickets issued), each of whom spent a</w:t>
      </w:r>
      <w:r>
        <w:rPr>
          <w:rFonts w:ascii="Arial" w:hAnsi="Arial" w:cs="Arial"/>
        </w:rPr>
        <w:t xml:space="preserve">n average of Ch$10,000 per visit. </w:t>
      </w:r>
    </w:p>
    <w:p w:rsidR="00000000" w:rsidRDefault="003E5AFF">
      <w:pPr>
        <w:pStyle w:val="NormalWeb"/>
        <w:spacing w:before="120" w:beforeAutospacing="0" w:after="0" w:afterAutospacing="0"/>
      </w:pPr>
      <w:r>
        <w:rPr>
          <w:rFonts w:ascii="Arial" w:hAnsi="Arial" w:cs="Arial"/>
        </w:rPr>
        <w:t xml:space="preserve">Disco also operates price-oriented stores under the Super Vea brand, which target primarily the low- and middle-income segment of the Argentine population Super Vea stores are primarily concentrated in the Cuyo (San Juan </w:t>
      </w:r>
      <w:r>
        <w:rPr>
          <w:rFonts w:ascii="Arial" w:hAnsi="Arial" w:cs="Arial"/>
        </w:rPr>
        <w:t xml:space="preserve">and Mendoza) and Northwest (Tucum_n, Salta, Catamarca and Santiago del Estero) regions of Argentina and offer a lower level of services with a higher proportion of secondary brands and private labels. </w:t>
      </w:r>
    </w:p>
    <w:p w:rsidR="00000000" w:rsidRDefault="003E5AFF">
      <w:pPr>
        <w:pStyle w:val="NormalWeb"/>
        <w:spacing w:before="120" w:beforeAutospacing="0" w:after="0" w:afterAutospacing="0"/>
      </w:pPr>
      <w:r>
        <w:rPr>
          <w:rFonts w:ascii="Arial" w:hAnsi="Arial" w:cs="Arial"/>
        </w:rPr>
        <w:t xml:space="preserve">Disco offers a wide range of food and non-food items, </w:t>
      </w:r>
      <w:r>
        <w:rPr>
          <w:rFonts w:ascii="Arial" w:hAnsi="Arial" w:cs="Arial"/>
        </w:rPr>
        <w:t>including fresh fruits and vegetables, baked goods, fresh meats, cleaning, health and beauty products and other grocery and supermarket items. In addition to general food and non-food items, Super Vea also sells a variety of home appliances, including tele</w:t>
      </w:r>
      <w:r>
        <w:rPr>
          <w:rFonts w:ascii="Arial" w:hAnsi="Arial" w:cs="Arial"/>
        </w:rPr>
        <w:t xml:space="preserve">visions and refrigerators, as well as other household consumer products.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- 184 - </w:t>
      </w:r>
    </w:p>
    <w:p w:rsidR="00000000" w:rsidRDefault="003E5AFF">
      <w:pPr>
        <w:rPr>
          <w:rFonts w:eastAsia="Times New Roman" w:cs="Times New Roman"/>
        </w:rPr>
      </w:pPr>
      <w:r>
        <w:rPr>
          <w:rFonts w:eastAsia="Times New Roman" w:cs="Times New Roman"/>
        </w:rPr>
        <w:pict>
          <v:rect id="_x0000_i1221" style="width:441.9pt;height:3pt" o:hralign="center" o:hrstd="t" o:hrnoshade="t" o:hr="t" fillcolor="#999" stroked="f"/>
        </w:pict>
      </w:r>
    </w:p>
    <w:p w:rsidR="00000000" w:rsidRDefault="003E5AFF">
      <w:pPr>
        <w:pStyle w:val="Heading5"/>
        <w:rPr>
          <w:rFonts w:eastAsia="Times New Roman" w:cs="Times New Roman"/>
        </w:rPr>
      </w:pPr>
      <w:hyperlink r:id="rId23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Brazil </w:t>
      </w:r>
    </w:p>
    <w:p w:rsidR="00000000" w:rsidRDefault="003E5AFF">
      <w:pPr>
        <w:pStyle w:val="NormalWeb"/>
        <w:spacing w:before="120" w:beforeAutospacing="0" w:after="0" w:afterAutospacing="0"/>
      </w:pPr>
      <w:r>
        <w:rPr>
          <w:rFonts w:ascii="Arial" w:hAnsi="Arial" w:cs="Arial"/>
        </w:rPr>
        <w:t>In November 2007, we expanded our supermarket operations into Brazil with the acquisition of the GBarbosa chain of hypermarkets, supermarkets and electronics stores in the North-East region of Brazil, specifically in the states of Alagoas, Bahia and Sergip</w:t>
      </w:r>
      <w:r>
        <w:rPr>
          <w:rFonts w:ascii="Arial" w:hAnsi="Arial" w:cs="Arial"/>
        </w:rPr>
        <w:t xml:space="preserve">e. GBarbosa traces its origins to the opening of its first store in the city of Aracaju in July 1955 by its founder, Mr. Gentil Barbosa. </w:t>
      </w:r>
    </w:p>
    <w:p w:rsidR="00000000" w:rsidRDefault="003E5AFF">
      <w:pPr>
        <w:pStyle w:val="NormalWeb"/>
        <w:spacing w:before="120" w:beforeAutospacing="0" w:after="0" w:afterAutospacing="0"/>
      </w:pPr>
      <w:r>
        <w:rPr>
          <w:rFonts w:ascii="Arial" w:hAnsi="Arial" w:cs="Arial"/>
        </w:rPr>
        <w:t>In 2010, we further expanded our operations in Brazil with the acquisitions of the Super Familia supermarket chain and</w:t>
      </w:r>
      <w:r>
        <w:rPr>
          <w:rFonts w:ascii="Arial" w:hAnsi="Arial" w:cs="Arial"/>
        </w:rPr>
        <w:t xml:space="preserve"> the Perini supermarket chain. Our expansion continued in 2011, with the acquisition of Cardoso, a three-store supermarket chain in the state of Bahia. In 2012 we acquired Prezunic which we estimate is the third-largest supermarket chain in Rio de Janeiro.</w:t>
      </w:r>
      <w:r>
        <w:rPr>
          <w:rFonts w:ascii="Arial" w:hAnsi="Arial" w:cs="Arial"/>
        </w:rPr>
        <w:t xml:space="preserve"> </w:t>
      </w:r>
    </w:p>
    <w:p w:rsidR="00000000" w:rsidRDefault="003E5AFF">
      <w:pPr>
        <w:pStyle w:val="NormalWeb"/>
        <w:spacing w:before="120" w:beforeAutospacing="0" w:after="0" w:afterAutospacing="0"/>
      </w:pPr>
      <w:r>
        <w:rPr>
          <w:rFonts w:ascii="Arial" w:hAnsi="Arial" w:cs="Arial"/>
        </w:rPr>
        <w:t>As of March 31, 2012, we operated 189 stores in Brazil which together had 465,992 square meters of total selling space. Of these 189 stores, we operate 73 GBarbosa supermarkets, 77 Bretas stores, 4 Perini stores and 4 Mercantil Rodrigues stores and 31 Pr</w:t>
      </w:r>
      <w:r>
        <w:rPr>
          <w:rFonts w:ascii="Arial" w:hAnsi="Arial" w:cs="Arial"/>
        </w:rPr>
        <w:t>ezunic stores. In addition, we also operate 129 Eletro-show stores and pharmacies under the GBarbosa brand in Brazil. For the three-month period ended March 31, 2012, our supermarkets in Brazil generated revenues from ordinary activities of Ch$551,071 mill</w:t>
      </w:r>
      <w:r>
        <w:rPr>
          <w:rFonts w:ascii="Arial" w:hAnsi="Arial" w:cs="Arial"/>
        </w:rPr>
        <w:t xml:space="preserve">ion, representing 25.4% of our consolidated revenues from ordinary activities for such period. Our supermarkets in Brazil served approximately 128 million clients in 2011, each of whom spent an average of R$41.82 per visit. </w:t>
      </w:r>
    </w:p>
    <w:p w:rsidR="00000000" w:rsidRDefault="003E5AFF">
      <w:pPr>
        <w:pStyle w:val="NormalWeb"/>
        <w:spacing w:before="120" w:beforeAutospacing="0" w:after="0" w:afterAutospacing="0"/>
      </w:pPr>
      <w:r>
        <w:rPr>
          <w:rFonts w:ascii="Arial" w:hAnsi="Arial" w:cs="Arial"/>
        </w:rPr>
        <w:t xml:space="preserve">The following table sets forth </w:t>
      </w:r>
      <w:r>
        <w:rPr>
          <w:rFonts w:ascii="Arial" w:hAnsi="Arial" w:cs="Arial"/>
        </w:rPr>
        <w:t xml:space="preserve">certain performance metrics related to our supermarkets in Brazil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56"/>
        <w:gridCol w:w="263"/>
        <w:gridCol w:w="367"/>
        <w:gridCol w:w="723"/>
        <w:gridCol w:w="112"/>
        <w:gridCol w:w="263"/>
        <w:gridCol w:w="367"/>
        <w:gridCol w:w="723"/>
        <w:gridCol w:w="112"/>
        <w:gridCol w:w="264"/>
        <w:gridCol w:w="367"/>
        <w:gridCol w:w="723"/>
        <w:gridCol w:w="112"/>
        <w:gridCol w:w="264"/>
        <w:gridCol w:w="367"/>
        <w:gridCol w:w="723"/>
        <w:gridCol w:w="112"/>
        <w:gridCol w:w="264"/>
        <w:gridCol w:w="367"/>
        <w:gridCol w:w="723"/>
        <w:gridCol w:w="134"/>
      </w:tblGrid>
      <w:tr w:rsidR="00000000">
        <w:trPr>
          <w:jc w:val="center"/>
        </w:trPr>
        <w:tc>
          <w:tcPr>
            <w:tcW w:w="1800" w:type="pct"/>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465,992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343,587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391,485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332,626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120,608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10,890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(decrease) in same-store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66"/>
        <w:gridCol w:w="83"/>
        <w:gridCol w:w="8057"/>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Excluding Eletro-show stores and pharmacies operating under the GBarbosa brand. See __Other Operations_Eletro-show_ and __Other Operations_Pharmacies._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spacing w:before="120" w:beforeAutospacing="0" w:after="0" w:afterAutospacing="0"/>
      </w:pPr>
      <w:r>
        <w:rPr>
          <w:rFonts w:ascii="Arial" w:hAnsi="Arial" w:cs="Arial"/>
        </w:rPr>
        <w:t xml:space="preserve">Cash and cash equivalent </w:t>
      </w:r>
      <w:r>
        <w:rPr>
          <w:rFonts w:ascii="Arial" w:hAnsi="Arial" w:cs="Arial"/>
        </w:rPr>
        <w:t xml:space="preserve">sales accounted for approximately 44.0% of our supermarket sales in Brazil for the year ended December 31, 2011 and credit card sales accounted for approximately 46.0% during the same period. See __Financial Services._ </w:t>
      </w:r>
    </w:p>
    <w:p w:rsidR="00000000" w:rsidRDefault="003E5AFF">
      <w:pPr>
        <w:pStyle w:val="NormalWeb"/>
        <w:spacing w:before="120" w:beforeAutospacing="0" w:after="0" w:afterAutospacing="0"/>
      </w:pPr>
      <w:r>
        <w:rPr>
          <w:rFonts w:ascii="Arial" w:hAnsi="Arial" w:cs="Arial"/>
          <w:i/>
          <w:iCs/>
        </w:rPr>
        <w:t>GBarbosa</w:t>
      </w:r>
      <w:r>
        <w:rPr>
          <w:rFonts w:ascii="Arial" w:hAnsi="Arial" w:cs="Arial"/>
        </w:rPr>
        <w:t>.    As of March 31, 2012, w</w:t>
      </w:r>
      <w:r>
        <w:rPr>
          <w:rFonts w:ascii="Arial" w:hAnsi="Arial" w:cs="Arial"/>
        </w:rPr>
        <w:t xml:space="preserve">e operated 73 GBarbosa supermarkets in Brazil. Additionally, under the GBarbosa brand we also offer financial services to our customers in Brazil. </w:t>
      </w:r>
    </w:p>
    <w:p w:rsidR="00000000" w:rsidRDefault="003E5AFF">
      <w:pPr>
        <w:pStyle w:val="NormalWeb"/>
        <w:spacing w:before="120" w:beforeAutospacing="0" w:after="0" w:afterAutospacing="0"/>
      </w:pPr>
      <w:r>
        <w:rPr>
          <w:rFonts w:ascii="Arial" w:hAnsi="Arial" w:cs="Arial"/>
        </w:rPr>
        <w:t>Our GBarbosa supermarkets represent our largest store format in Brazil. Our GBarbosa supermarkets have selli</w:t>
      </w:r>
      <w:r>
        <w:rPr>
          <w:rFonts w:ascii="Arial" w:hAnsi="Arial" w:cs="Arial"/>
        </w:rPr>
        <w:t>ng areas ranging from 5,000 to 8,000 square meters. These supermarkets have large parking facilities, and have on average approximately 17 checkouts and 137 employees. GBarbosa supermarkets target consumers of all income classes, and they offer a wide rang</w:t>
      </w:r>
      <w:r>
        <w:rPr>
          <w:rFonts w:ascii="Arial" w:hAnsi="Arial" w:cs="Arial"/>
        </w:rPr>
        <w:t xml:space="preserve">e of products, with a capacity for more than 30,000 SKUs. GBarbosa supermarkets sell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- 185 - </w:t>
      </w:r>
    </w:p>
    <w:p w:rsidR="00000000" w:rsidRDefault="003E5AFF">
      <w:pPr>
        <w:rPr>
          <w:rFonts w:eastAsia="Times New Roman" w:cs="Times New Roman"/>
        </w:rPr>
      </w:pPr>
      <w:r>
        <w:rPr>
          <w:rFonts w:eastAsia="Times New Roman" w:cs="Times New Roman"/>
        </w:rPr>
        <w:pict>
          <v:rect id="_x0000_i1222" style="width:441.9pt;height:3pt" o:hralign="center" o:hrstd="t" o:hrnoshade="t" o:hr="t" fillcolor="#999" stroked="f"/>
        </w:pict>
      </w:r>
    </w:p>
    <w:p w:rsidR="00000000" w:rsidRDefault="003E5AFF">
      <w:pPr>
        <w:pStyle w:val="Heading5"/>
        <w:rPr>
          <w:rFonts w:eastAsia="Times New Roman" w:cs="Times New Roman"/>
        </w:rPr>
      </w:pPr>
      <w:hyperlink r:id="rId23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products such as fresh fruit and vegetables, meat, poultry, dairy products, alcoholic beverages, textiles, cosmetics and cleaning products, in addition to more gourmet items, such as delicatessen products, f</w:t>
      </w:r>
      <w:r>
        <w:rPr>
          <w:rFonts w:ascii="Arial" w:hAnsi="Arial" w:cs="Arial"/>
        </w:rPr>
        <w:t xml:space="preserve">resh fish and bakery items. Our GBarbosa supermarkets also offer a wide range of non-food products, such as electronics, home appliances and textiles, which represent an important share of its sales. </w:t>
      </w:r>
    </w:p>
    <w:p w:rsidR="00000000" w:rsidRDefault="003E5AFF">
      <w:pPr>
        <w:pStyle w:val="NormalWeb"/>
        <w:spacing w:before="120" w:beforeAutospacing="0" w:after="0" w:afterAutospacing="0"/>
      </w:pPr>
      <w:r>
        <w:rPr>
          <w:rFonts w:ascii="Arial" w:hAnsi="Arial" w:cs="Arial"/>
          <w:i/>
          <w:iCs/>
        </w:rPr>
        <w:t>Mercantil Rodrigues</w:t>
      </w:r>
      <w:r>
        <w:rPr>
          <w:rFonts w:ascii="Arial" w:hAnsi="Arial" w:cs="Arial"/>
        </w:rPr>
        <w:t>.    At March 31, 2012, we also owne</w:t>
      </w:r>
      <w:r>
        <w:rPr>
          <w:rFonts w:ascii="Arial" w:hAnsi="Arial" w:cs="Arial"/>
        </w:rPr>
        <w:t xml:space="preserve">d and operated 4 Mercantil Rodrigues hypermarkets in Brazil. Mercantil Rodrigues hypermarkets offer a wide range of food and non-food items, including fresh fruits and vegetables, baked goods, fresh meats and other grocery items. </w:t>
      </w:r>
    </w:p>
    <w:p w:rsidR="00000000" w:rsidRDefault="003E5AFF">
      <w:pPr>
        <w:pStyle w:val="NormalWeb"/>
        <w:spacing w:before="120" w:beforeAutospacing="0" w:after="0" w:afterAutospacing="0"/>
      </w:pPr>
      <w:r>
        <w:rPr>
          <w:rFonts w:ascii="Arial" w:hAnsi="Arial" w:cs="Arial"/>
          <w:i/>
          <w:iCs/>
        </w:rPr>
        <w:t>Super Familia</w:t>
      </w:r>
      <w:r>
        <w:rPr>
          <w:rFonts w:ascii="Arial" w:hAnsi="Arial" w:cs="Arial"/>
        </w:rPr>
        <w:t>.    On Marc</w:t>
      </w:r>
      <w:r>
        <w:rPr>
          <w:rFonts w:ascii="Arial" w:hAnsi="Arial" w:cs="Arial"/>
        </w:rPr>
        <w:t>h 23, 2010, we acquired 100% of the outstanding shares of Super Fam_lia Comercial de Alimentos Ltda., operator of the Super Familia supermarket chain in Brazil, for approximately U.S.$33.1 million. We acquired four Super Familia stores in the city of Forta</w:t>
      </w:r>
      <w:r>
        <w:rPr>
          <w:rFonts w:ascii="Arial" w:hAnsi="Arial" w:cs="Arial"/>
        </w:rPr>
        <w:t xml:space="preserve">leza, with a total sales area of 7,000 square meters, and two distribution centers. In 2011, we rebranded the Super Familia stores into the GBarbosa brand. </w:t>
      </w:r>
    </w:p>
    <w:p w:rsidR="00000000" w:rsidRDefault="003E5AFF">
      <w:pPr>
        <w:pStyle w:val="NormalWeb"/>
        <w:spacing w:before="120" w:beforeAutospacing="0" w:after="0" w:afterAutospacing="0"/>
      </w:pPr>
      <w:r>
        <w:rPr>
          <w:rFonts w:ascii="Arial" w:hAnsi="Arial" w:cs="Arial"/>
          <w:i/>
          <w:iCs/>
        </w:rPr>
        <w:t>Perini</w:t>
      </w:r>
      <w:r>
        <w:rPr>
          <w:rFonts w:ascii="Arial" w:hAnsi="Arial" w:cs="Arial"/>
        </w:rPr>
        <w:t>.    On July 5, 2010, we acquired 100% of the outstanding shares of Perini Comercial do Alime</w:t>
      </w:r>
      <w:r>
        <w:rPr>
          <w:rFonts w:ascii="Arial" w:hAnsi="Arial" w:cs="Arial"/>
        </w:rPr>
        <w:t>nto Ltda., operator of the four-store chain of Perini supermarkets in the city of Salvador da Bahia in Brazil, for approximately U.S.$27.7 million. Perini is a well-known brand in Brazil with 47 years in the market that targets the high-end retail customer</w:t>
      </w:r>
      <w:r>
        <w:rPr>
          <w:rFonts w:ascii="Arial" w:hAnsi="Arial" w:cs="Arial"/>
        </w:rPr>
        <w:t xml:space="preserve"> segment and complements our business portfolio in Brazil. In addition to the four Perini stores in the city of Salvador da Bahia, we also acquired four additional points of sales inside shopping centers, with a total sales area of 4,900 square meters, and</w:t>
      </w:r>
      <w:r>
        <w:rPr>
          <w:rFonts w:ascii="Arial" w:hAnsi="Arial" w:cs="Arial"/>
        </w:rPr>
        <w:t xml:space="preserve"> two distribution centers. </w:t>
      </w:r>
    </w:p>
    <w:p w:rsidR="00000000" w:rsidRDefault="003E5AFF">
      <w:pPr>
        <w:pStyle w:val="NormalWeb"/>
        <w:spacing w:before="120" w:beforeAutospacing="0" w:after="0" w:afterAutospacing="0"/>
      </w:pPr>
      <w:r>
        <w:rPr>
          <w:rFonts w:ascii="Arial" w:hAnsi="Arial" w:cs="Arial"/>
          <w:i/>
          <w:iCs/>
        </w:rPr>
        <w:t>Bretas</w:t>
      </w:r>
      <w:r>
        <w:rPr>
          <w:rFonts w:ascii="Arial" w:hAnsi="Arial" w:cs="Arial"/>
        </w:rPr>
        <w:t>.    On October 31, 2010, we acquired 100% of the outstanding shares of Irmaos Bretas Filhos e C_a. Ltda., operator of the 63-store chain of Bretas supermarkets in the state of Minas Gerais in Brazil, for approximately U.S</w:t>
      </w:r>
      <w:r>
        <w:rPr>
          <w:rFonts w:ascii="Arial" w:hAnsi="Arial" w:cs="Arial"/>
        </w:rPr>
        <w:t xml:space="preserve">.$705 million. Bretas is a well-known brand in Brazil with 56 years in the supermarket industry. In addition to the 63 Bretas stores, we also acquired 10 additional gas stations, and two distribution centers. </w:t>
      </w:r>
    </w:p>
    <w:p w:rsidR="00000000" w:rsidRDefault="003E5AFF">
      <w:pPr>
        <w:pStyle w:val="NormalWeb"/>
        <w:spacing w:before="120" w:beforeAutospacing="0" w:after="0" w:afterAutospacing="0"/>
      </w:pPr>
      <w:r>
        <w:rPr>
          <w:rFonts w:ascii="Arial" w:hAnsi="Arial" w:cs="Arial"/>
          <w:i/>
          <w:iCs/>
        </w:rPr>
        <w:t>Cardoso</w:t>
      </w:r>
      <w:r>
        <w:rPr>
          <w:rFonts w:ascii="Arial" w:hAnsi="Arial" w:cs="Arial"/>
        </w:rPr>
        <w:t>.    In October 2011, we acquired Cardo</w:t>
      </w:r>
      <w:r>
        <w:rPr>
          <w:rFonts w:ascii="Arial" w:hAnsi="Arial" w:cs="Arial"/>
        </w:rPr>
        <w:t>so, a three-store supermarket chain in the state of Bahia, with annual net sales of approximately R$60 million (U.S.$35.9 million) in 2011. We agreed to pay the purchase price of R$18 million (approximately US$11.3 million or Ch$5,429 million) in three ins</w:t>
      </w:r>
      <w:r>
        <w:rPr>
          <w:rFonts w:ascii="Arial" w:hAnsi="Arial" w:cs="Arial"/>
        </w:rPr>
        <w:t>tallments, 60% on the closing of the transaction, 20% on the six-month anniversary of the closing date and the remaining 20% on the first year anniversary of the closing date. We have converted the acquired stores to the GBarbosa format and are now operati</w:t>
      </w:r>
      <w:r>
        <w:rPr>
          <w:rFonts w:ascii="Arial" w:hAnsi="Arial" w:cs="Arial"/>
        </w:rPr>
        <w:t xml:space="preserve">ng them under that brand. </w:t>
      </w:r>
    </w:p>
    <w:p w:rsidR="00000000" w:rsidRDefault="003E5AFF">
      <w:pPr>
        <w:pStyle w:val="NormalWeb"/>
        <w:spacing w:before="120" w:beforeAutospacing="0" w:after="0" w:afterAutospacing="0"/>
      </w:pPr>
      <w:r>
        <w:rPr>
          <w:rFonts w:ascii="Arial" w:hAnsi="Arial" w:cs="Arial"/>
          <w:i/>
          <w:iCs/>
        </w:rPr>
        <w:t>Prezunic</w:t>
      </w:r>
      <w:r>
        <w:rPr>
          <w:rFonts w:ascii="Arial" w:hAnsi="Arial" w:cs="Arial"/>
        </w:rPr>
        <w:t>.    On January 2, 2012, pursuant to a stock purchase agreement executed on November 16, 2011, Cencosud Brasil S.A. (_Cencosud Brasil_) acquired from the Dias Da Cunha family 100% of the capital stock of Prezunic Comercia</w:t>
      </w:r>
      <w:r>
        <w:rPr>
          <w:rFonts w:ascii="Arial" w:hAnsi="Arial" w:cs="Arial"/>
        </w:rPr>
        <w:t>l Ltda. (_Prezunic_). We estimate that Prezunic is the third-largest supermarket chain in Rio de Janeiro with 31 stores and net sales of approximately R$2.2 billion in 2011. The aggregate purchase price of the operation was R$875 million, payable as follow</w:t>
      </w:r>
      <w:r>
        <w:rPr>
          <w:rFonts w:ascii="Arial" w:hAnsi="Arial" w:cs="Arial"/>
        </w:rPr>
        <w:t xml:space="preserve">s: R$580 million on the closing date of the transaction (January 2, 2012), from which R$190 million were deducted as working capital adjustments. The balance will be paid as follows: R$80 million, R$85 million, R$80 million and R$50 million, on the first, </w:t>
      </w:r>
      <w:r>
        <w:rPr>
          <w:rFonts w:ascii="Arial" w:hAnsi="Arial" w:cs="Arial"/>
        </w:rPr>
        <w:t>second, third and fourth anniversary of the closing date, respectively. Pursuant to the stock purchase agreement, Cencosud Brasil was also granted a preferential right from third-party landowners to acquire or lease two supermarket properties that were not</w:t>
      </w:r>
      <w:r>
        <w:rPr>
          <w:rFonts w:ascii="Arial" w:hAnsi="Arial" w:cs="Arial"/>
        </w:rPr>
        <w:t xml:space="preserve"> owned by Prezunic at the time of the transaction, but were instead leased. Under the terms of this agreement, Cencosud S.A. serves as guarantor of Cencosud Brasil.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- 186 - </w:t>
      </w:r>
    </w:p>
    <w:p w:rsidR="00000000" w:rsidRDefault="003E5AFF">
      <w:pPr>
        <w:rPr>
          <w:rFonts w:eastAsia="Times New Roman" w:cs="Times New Roman"/>
        </w:rPr>
      </w:pPr>
      <w:r>
        <w:rPr>
          <w:rFonts w:eastAsia="Times New Roman" w:cs="Times New Roman"/>
        </w:rPr>
        <w:pict>
          <v:rect id="_x0000_i1223" style="width:441.9pt;height:3pt" o:hralign="center" o:hrstd="t" o:hrnoshade="t" o:hr="t" fillcolor="#999" stroked="f"/>
        </w:pict>
      </w:r>
    </w:p>
    <w:p w:rsidR="00000000" w:rsidRDefault="003E5AFF">
      <w:pPr>
        <w:pStyle w:val="Heading5"/>
        <w:rPr>
          <w:rFonts w:eastAsia="Times New Roman" w:cs="Times New Roman"/>
        </w:rPr>
      </w:pPr>
      <w:hyperlink r:id="rId24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Peru </w:t>
      </w:r>
    </w:p>
    <w:p w:rsidR="00000000" w:rsidRDefault="003E5AFF">
      <w:pPr>
        <w:pStyle w:val="NormalWeb"/>
        <w:spacing w:before="120" w:beforeAutospacing="0" w:after="0" w:afterAutospacing="0"/>
      </w:pPr>
      <w:r>
        <w:rPr>
          <w:rFonts w:ascii="Arial" w:hAnsi="Arial" w:cs="Arial"/>
        </w:rPr>
        <w:t xml:space="preserve">On January 31, 2008, </w:t>
      </w:r>
      <w:r>
        <w:rPr>
          <w:rFonts w:ascii="Arial" w:hAnsi="Arial" w:cs="Arial"/>
        </w:rPr>
        <w:t xml:space="preserve">we acquired 100% of the shares of GSW S.A., operating under the brand name Wong in Peru, for approximately U.S.$467 million. As of March 31, 2012, we operated 77 Wong and Metro hypermarkets and supermarkets in Peru which together had 233,496 square meters </w:t>
      </w:r>
      <w:r>
        <w:rPr>
          <w:rFonts w:ascii="Arial" w:hAnsi="Arial" w:cs="Arial"/>
        </w:rPr>
        <w:t xml:space="preserve">of total retail selling space. For the three-month period ended March 31, 2012, our stores in Peru generated revenues from ordinary activities of Ch$168,662 million, representing 7.8% our consolidated revenues from ordinary activities for such period. </w:t>
      </w:r>
    </w:p>
    <w:p w:rsidR="00000000" w:rsidRDefault="003E5AFF">
      <w:pPr>
        <w:pStyle w:val="NormalWeb"/>
        <w:spacing w:before="120" w:beforeAutospacing="0" w:after="0" w:afterAutospacing="0"/>
      </w:pPr>
      <w:r>
        <w:rPr>
          <w:rFonts w:ascii="Arial" w:hAnsi="Arial" w:cs="Arial"/>
        </w:rPr>
        <w:t>Our</w:t>
      </w:r>
      <w:r>
        <w:rPr>
          <w:rFonts w:ascii="Arial" w:hAnsi="Arial" w:cs="Arial"/>
        </w:rPr>
        <w:t xml:space="preserve"> Wong and Metro stores served approximately 100 million clients in 2011 (measured in number of tickets issued), each of whom spent an average of Ch$6,200 per visit. Cash and cash equivalent sales accounted for approximately 51.0% of our Wong and Metro stor</w:t>
      </w:r>
      <w:r>
        <w:rPr>
          <w:rFonts w:ascii="Arial" w:hAnsi="Arial" w:cs="Arial"/>
        </w:rPr>
        <w:t xml:space="preserve">es sales in Peru for the year ended December 31, 2011, and credit card sales accounted for approximately 49.0% during the same period. </w:t>
      </w:r>
    </w:p>
    <w:p w:rsidR="00000000" w:rsidRDefault="003E5AFF">
      <w:pPr>
        <w:pStyle w:val="NormalWeb"/>
        <w:spacing w:before="120" w:beforeAutospacing="0" w:after="0" w:afterAutospacing="0"/>
      </w:pPr>
      <w:r>
        <w:rPr>
          <w:rFonts w:ascii="Arial" w:hAnsi="Arial" w:cs="Arial"/>
        </w:rPr>
        <w:t>The following table sets forth certain performance metrics related to our Wong and Metro supermarkets and hypermarkets i</w:t>
      </w:r>
      <w:r>
        <w:rPr>
          <w:rFonts w:ascii="Arial" w:hAnsi="Arial" w:cs="Arial"/>
        </w:rPr>
        <w:t xml:space="preserve">n Peru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56"/>
        <w:gridCol w:w="240"/>
        <w:gridCol w:w="367"/>
        <w:gridCol w:w="723"/>
        <w:gridCol w:w="112"/>
        <w:gridCol w:w="240"/>
        <w:gridCol w:w="367"/>
        <w:gridCol w:w="723"/>
        <w:gridCol w:w="112"/>
        <w:gridCol w:w="240"/>
        <w:gridCol w:w="367"/>
        <w:gridCol w:w="723"/>
        <w:gridCol w:w="112"/>
        <w:gridCol w:w="240"/>
        <w:gridCol w:w="367"/>
        <w:gridCol w:w="723"/>
        <w:gridCol w:w="240"/>
        <w:gridCol w:w="241"/>
        <w:gridCol w:w="367"/>
        <w:gridCol w:w="723"/>
        <w:gridCol w:w="123"/>
      </w:tblGrid>
      <w:tr w:rsidR="00000000">
        <w:trPr>
          <w:jc w:val="center"/>
        </w:trPr>
        <w:tc>
          <w:tcPr>
            <w:tcW w:w="1700" w:type="pct"/>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right"/>
              <w:rPr>
                <w:rFonts w:eastAsia="Times New Roman" w:cs="Times New Roman"/>
              </w:rPr>
            </w:pPr>
            <w:r>
              <w:rPr>
                <w:rFonts w:ascii="Arial" w:eastAsia="Times New Roman" w:hAnsi="Arial" w:cs="Arial"/>
                <w:b/>
                <w:bCs/>
              </w:rPr>
              <w:t>(in millions of nominal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233,496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209,642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233,331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209,642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184,659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2,304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8,744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0.67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(decrease) in same-store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spacing w:before="120" w:beforeAutospacing="0" w:after="0" w:afterAutospacing="0"/>
      </w:pPr>
      <w:r>
        <w:rPr>
          <w:rFonts w:ascii="Arial" w:hAnsi="Arial" w:cs="Arial"/>
          <w:i/>
          <w:iCs/>
        </w:rPr>
        <w:t>Wong</w:t>
      </w:r>
      <w:r>
        <w:rPr>
          <w:rFonts w:ascii="Arial" w:hAnsi="Arial" w:cs="Arial"/>
        </w:rPr>
        <w:t>.    As of March </w:t>
      </w:r>
      <w:r>
        <w:rPr>
          <w:rFonts w:ascii="Arial" w:hAnsi="Arial" w:cs="Arial"/>
        </w:rPr>
        <w:t xml:space="preserve">31, 2012 we operated 17 Wong supermarkets in Peru, which had an average selling area of 3,513 square meters. Our Wong stores carry our full line of products and brands, at a variety of price points. In addition, some Wong stores contain separate specialty </w:t>
      </w:r>
      <w:r>
        <w:rPr>
          <w:rFonts w:ascii="Arial" w:hAnsi="Arial" w:cs="Arial"/>
        </w:rPr>
        <w:t>retail facilities operated by third parties. Our Wong supermarkets have approximately 30 checkouts, carried up to 60,000 SKUs and had approximately 262 employees per store. The target market of our Wong stores is primarily the middle- and high-income segme</w:t>
      </w:r>
      <w:r>
        <w:rPr>
          <w:rFonts w:ascii="Arial" w:hAnsi="Arial" w:cs="Arial"/>
        </w:rPr>
        <w:t xml:space="preserve">nt of the Peruvian population. </w:t>
      </w:r>
    </w:p>
    <w:p w:rsidR="00000000" w:rsidRDefault="003E5AFF">
      <w:pPr>
        <w:pStyle w:val="NormalWeb"/>
        <w:spacing w:before="120" w:beforeAutospacing="0" w:after="0" w:afterAutospacing="0"/>
      </w:pPr>
      <w:r>
        <w:rPr>
          <w:rFonts w:ascii="Arial" w:hAnsi="Arial" w:cs="Arial"/>
          <w:i/>
          <w:iCs/>
        </w:rPr>
        <w:t>Metro</w:t>
      </w:r>
      <w:r>
        <w:rPr>
          <w:rFonts w:ascii="Arial" w:hAnsi="Arial" w:cs="Arial"/>
        </w:rPr>
        <w:t>.    As of March 31, 2012 we operated 57 Metro stores (hypermarkets and supermarkets) in Peru, which had an average selling area of 3,000 square meters. Metro stores carry our full line of products and brands, at a vari</w:t>
      </w:r>
      <w:r>
        <w:rPr>
          <w:rFonts w:ascii="Arial" w:hAnsi="Arial" w:cs="Arial"/>
        </w:rPr>
        <w:t>ety of price points. Our Metro hypermarkets and supermarkets had approximately 24 checkouts, carried up to 87,000 SKUs and had approximately 150 employees per store. The target market of our Wong stores is primarily the middle- and high-income segment of t</w:t>
      </w:r>
      <w:r>
        <w:rPr>
          <w:rFonts w:ascii="Arial" w:hAnsi="Arial" w:cs="Arial"/>
        </w:rPr>
        <w:t xml:space="preserve">he Peruvian population. </w:t>
      </w:r>
    </w:p>
    <w:p w:rsidR="00000000" w:rsidRDefault="003E5AFF">
      <w:pPr>
        <w:pStyle w:val="NormalWeb"/>
        <w:spacing w:before="240" w:beforeAutospacing="0" w:after="0" w:afterAutospacing="0"/>
      </w:pPr>
      <w:r>
        <w:rPr>
          <w:rFonts w:ascii="Arial" w:hAnsi="Arial" w:cs="Arial"/>
          <w:b/>
          <w:bCs/>
          <w:sz w:val="24"/>
          <w:szCs w:val="24"/>
        </w:rPr>
        <w:t xml:space="preserve">Home improvement stores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 xml:space="preserve">In 1993 we opened our first Easy home improvement store segment in Chile and, since 2002, we have rapidly expanded our home improvement operations. As of March 31, 2012 we operated 81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- 187 - </w:t>
      </w:r>
    </w:p>
    <w:p w:rsidR="00000000" w:rsidRDefault="003E5AFF">
      <w:pPr>
        <w:rPr>
          <w:rFonts w:eastAsia="Times New Roman" w:cs="Times New Roman"/>
        </w:rPr>
      </w:pPr>
      <w:r>
        <w:rPr>
          <w:rFonts w:eastAsia="Times New Roman" w:cs="Times New Roman"/>
        </w:rPr>
        <w:pict>
          <v:rect id="_x0000_i1224" style="width:441.9pt;height:3pt" o:hralign="center" o:hrstd="t" o:hrnoshade="t" o:hr="t" fillcolor="#999" stroked="f"/>
        </w:pict>
      </w:r>
    </w:p>
    <w:p w:rsidR="00000000" w:rsidRDefault="003E5AFF">
      <w:pPr>
        <w:pStyle w:val="Heading5"/>
        <w:rPr>
          <w:rFonts w:eastAsia="Times New Roman" w:cs="Times New Roman"/>
        </w:rPr>
      </w:pPr>
      <w:hyperlink r:id="rId24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Easy home improvement stores in Argentina, Chile and Colombia dedicated to home improvement, hobbies and construction. We believe we are the second-largest home improvement store operator in Chile and the larges</w:t>
      </w:r>
      <w:r>
        <w:rPr>
          <w:rFonts w:ascii="Arial" w:hAnsi="Arial" w:cs="Arial"/>
        </w:rPr>
        <w:t>t in Argentina in terms of selling space, based on our comparisons against information from public filings of our main competitors as of December 31, 2011, and on information provided in the report by Planet Retail, a third-party research company, dated as</w:t>
      </w:r>
      <w:r>
        <w:rPr>
          <w:rFonts w:ascii="Arial" w:hAnsi="Arial" w:cs="Arial"/>
        </w:rPr>
        <w:t xml:space="preserve"> of that date. In October 2008, we opened the first home improvement store in Colombia, where we operated four stores and 35,360 square meters of selling space in March 31, 2012. For the year ended December 31, 2011, our home improvement stores generated r</w:t>
      </w:r>
      <w:r>
        <w:rPr>
          <w:rFonts w:ascii="Arial" w:hAnsi="Arial" w:cs="Arial"/>
        </w:rPr>
        <w:t>evenues from ordinary activities, gross margin and Adjusted EBITDA of Ch$948,641 million, Ch$301,303 million and Ch$83,792 million, respectively, and for the first quarter, our home improvement stores generated revenues from ordinary activities, gross marg</w:t>
      </w:r>
      <w:r>
        <w:rPr>
          <w:rFonts w:ascii="Arial" w:hAnsi="Arial" w:cs="Arial"/>
        </w:rPr>
        <w:t xml:space="preserve">in and Adjusted EBITDA of Ch$258,320 million, Ch$81,398, and Ch$25,011 million, respectively. </w:t>
      </w:r>
    </w:p>
    <w:p w:rsidR="00000000" w:rsidRDefault="003E5AFF">
      <w:pPr>
        <w:pStyle w:val="NormalWeb"/>
        <w:spacing w:before="120" w:beforeAutospacing="0" w:after="0" w:afterAutospacing="0"/>
      </w:pPr>
      <w:r>
        <w:rPr>
          <w:rFonts w:ascii="Arial" w:hAnsi="Arial" w:cs="Arial"/>
        </w:rPr>
        <w:t xml:space="preserve">Our home improvement operations have expanded through organic growth and several acquisitions over the past three years. The following table sets forth, for the periods indicated, information regarding the expansion of our home improvement operations: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61"/>
        <w:gridCol w:w="267"/>
        <w:gridCol w:w="367"/>
        <w:gridCol w:w="723"/>
        <w:gridCol w:w="112"/>
        <w:gridCol w:w="267"/>
        <w:gridCol w:w="367"/>
        <w:gridCol w:w="723"/>
        <w:gridCol w:w="112"/>
        <w:gridCol w:w="267"/>
        <w:gridCol w:w="367"/>
        <w:gridCol w:w="723"/>
        <w:gridCol w:w="112"/>
        <w:gridCol w:w="267"/>
        <w:gridCol w:w="367"/>
        <w:gridCol w:w="723"/>
        <w:gridCol w:w="112"/>
        <w:gridCol w:w="267"/>
        <w:gridCol w:w="367"/>
        <w:gridCol w:w="723"/>
        <w:gridCol w:w="112"/>
      </w:tblGrid>
      <w:tr w:rsidR="00000000">
        <w:trPr>
          <w:jc w:val="center"/>
        </w:trPr>
        <w:tc>
          <w:tcPr>
            <w:tcW w:w="1800" w:type="pct"/>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704,457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672,251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703,170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700,579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618,456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11,712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9,998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9,199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spacing w:before="120" w:beforeAutospacing="0" w:after="0" w:afterAutospacing="0"/>
      </w:pPr>
      <w:r>
        <w:rPr>
          <w:rFonts w:ascii="Arial" w:hAnsi="Arial" w:cs="Arial"/>
        </w:rPr>
        <w:t xml:space="preserve">The </w:t>
      </w:r>
      <w:r>
        <w:rPr>
          <w:rFonts w:ascii="Arial" w:hAnsi="Arial" w:cs="Arial"/>
        </w:rPr>
        <w:t xml:space="preserve">following table sets forth, for the periods indicated, the revenues from ordinary activities of our home improvement stores per country: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850"/>
        <w:gridCol w:w="107"/>
        <w:gridCol w:w="68"/>
        <w:gridCol w:w="867"/>
        <w:gridCol w:w="112"/>
        <w:gridCol w:w="160"/>
        <w:gridCol w:w="67"/>
        <w:gridCol w:w="867"/>
        <w:gridCol w:w="160"/>
        <w:gridCol w:w="160"/>
        <w:gridCol w:w="56"/>
        <w:gridCol w:w="723"/>
        <w:gridCol w:w="112"/>
        <w:gridCol w:w="107"/>
        <w:gridCol w:w="56"/>
        <w:gridCol w:w="723"/>
        <w:gridCol w:w="112"/>
        <w:gridCol w:w="108"/>
        <w:gridCol w:w="56"/>
        <w:gridCol w:w="723"/>
        <w:gridCol w:w="112"/>
      </w:tblGrid>
      <w:tr w:rsidR="00000000">
        <w:trPr>
          <w:jc w:val="center"/>
        </w:trPr>
        <w:tc>
          <w:tcPr>
            <w:tcW w:w="26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gridSpan w:val="9"/>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99,669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95,687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367,483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335,727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263,765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148,833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122,367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541,778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451,021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398,226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Colombia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10,818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9,120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39,380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33,089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9,525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259,320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227,174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948,641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819,838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671,517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rPr>
        <w:t xml:space="preserve">In Chile, we </w:t>
      </w:r>
      <w:r>
        <w:rPr>
          <w:rFonts w:ascii="Arial" w:hAnsi="Arial" w:cs="Arial"/>
        </w:rPr>
        <w:t>operate our home improvement store business through 29 Easy home improvement stores, of which 11 are located in the Santiago metropolitan region and the rest throughout the various regions of Chile. For the years ended December 31, 2011 and 2010, Easy home</w:t>
      </w:r>
      <w:r>
        <w:rPr>
          <w:rFonts w:ascii="Arial" w:hAnsi="Arial" w:cs="Arial"/>
        </w:rPr>
        <w:t xml:space="preserve"> improvement stores in Chile generated revenues from ordinary activities of Ch$367,483 million and Ch$335,727 million, respectively, representing 4.8% and 5.4% of our consolidated revenues from ordinary activities during those periods. For the quarter ende</w:t>
      </w:r>
      <w:r>
        <w:rPr>
          <w:rFonts w:ascii="Arial" w:hAnsi="Arial" w:cs="Arial"/>
        </w:rPr>
        <w:t>d March 31, 2012 and 2011, Easy home improvement stores in Chile generated revenues from ordinary activities of Ch$99,669 million and Ch$95,687 million, respectively, representing 4.6% and 5.5% of our consolidated revenues from ordinary activities during t</w:t>
      </w:r>
      <w:r>
        <w:rPr>
          <w:rFonts w:ascii="Arial" w:hAnsi="Arial" w:cs="Arial"/>
        </w:rPr>
        <w:t xml:space="preserve">hose periods.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- 188 - </w:t>
      </w:r>
    </w:p>
    <w:p w:rsidR="00000000" w:rsidRDefault="003E5AFF">
      <w:pPr>
        <w:rPr>
          <w:rFonts w:eastAsia="Times New Roman" w:cs="Times New Roman"/>
        </w:rPr>
      </w:pPr>
      <w:r>
        <w:rPr>
          <w:rFonts w:eastAsia="Times New Roman" w:cs="Times New Roman"/>
        </w:rPr>
        <w:pict>
          <v:rect id="_x0000_i1225" style="width:441.9pt;height:3pt" o:hralign="center" o:hrstd="t" o:hrnoshade="t" o:hr="t" fillcolor="#999" stroked="f"/>
        </w:pict>
      </w:r>
    </w:p>
    <w:p w:rsidR="00000000" w:rsidRDefault="003E5AFF">
      <w:pPr>
        <w:pStyle w:val="Heading5"/>
        <w:rPr>
          <w:rFonts w:eastAsia="Times New Roman" w:cs="Times New Roman"/>
        </w:rPr>
      </w:pPr>
      <w:hyperlink r:id="rId242"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rPr>
        <w:t xml:space="preserve">The following table sets forth certain performance metrics related to our Easy home improvement stores in Chile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56"/>
        <w:gridCol w:w="268"/>
        <w:gridCol w:w="367"/>
        <w:gridCol w:w="723"/>
        <w:gridCol w:w="112"/>
        <w:gridCol w:w="268"/>
        <w:gridCol w:w="367"/>
        <w:gridCol w:w="723"/>
        <w:gridCol w:w="112"/>
        <w:gridCol w:w="268"/>
        <w:gridCol w:w="367"/>
        <w:gridCol w:w="723"/>
        <w:gridCol w:w="112"/>
        <w:gridCol w:w="268"/>
        <w:gridCol w:w="367"/>
        <w:gridCol w:w="723"/>
        <w:gridCol w:w="112"/>
        <w:gridCol w:w="268"/>
        <w:gridCol w:w="367"/>
        <w:gridCol w:w="723"/>
        <w:gridCol w:w="112"/>
      </w:tblGrid>
      <w:tr w:rsidR="00000000">
        <w:trPr>
          <w:jc w:val="center"/>
        </w:trPr>
        <w:tc>
          <w:tcPr>
            <w:tcW w:w="1700" w:type="pct"/>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Quarter 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276,325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273,625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276,325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273,625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251,144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12,672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11,577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10,551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(decrease) in same-store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spacing w:before="120" w:beforeAutospacing="0" w:after="0" w:afterAutospacing="0"/>
      </w:pPr>
      <w:r>
        <w:rPr>
          <w:rFonts w:ascii="Arial" w:hAnsi="Arial" w:cs="Arial"/>
        </w:rPr>
        <w:t>Our Easy home improvement stores are oriented toward three groups of consumers: professionals constructors and home improvement professionals, people interested in _do-it-yourself_ projects and</w:t>
      </w:r>
      <w:r>
        <w:rPr>
          <w:rFonts w:ascii="Arial" w:hAnsi="Arial" w:cs="Arial"/>
        </w:rPr>
        <w:t xml:space="preserve"> hobby enthusiasts. Each store is designed to provide customers with a _one-stop_ shopping experience for home improvement needs. Our Easy home improvement stores offer a wide variety of home improvement items, including hardware, tools, construction and p</w:t>
      </w:r>
      <w:r>
        <w:rPr>
          <w:rFonts w:ascii="Arial" w:hAnsi="Arial" w:cs="Arial"/>
        </w:rPr>
        <w:t>lumbing materials, electrical products, sporting goods, gardening supplies and other household wares. To complement our products and enhance service, each of our Easy home improvement stores also provides for free, or at a nominal charge, technical advice,</w:t>
      </w:r>
      <w:r>
        <w:rPr>
          <w:rFonts w:ascii="Arial" w:hAnsi="Arial" w:cs="Arial"/>
        </w:rPr>
        <w:t xml:space="preserve"> home delivery, recommended contractors or builders, and cutting of wood and steel. Additionally, Easy allows customers to return unused products for any reason within a certain period of time. </w:t>
      </w:r>
    </w:p>
    <w:p w:rsidR="00000000" w:rsidRDefault="003E5AFF">
      <w:pPr>
        <w:pStyle w:val="NormalWeb"/>
        <w:spacing w:before="120" w:beforeAutospacing="0" w:after="0" w:afterAutospacing="0"/>
      </w:pPr>
      <w:r>
        <w:rPr>
          <w:rFonts w:ascii="Arial" w:hAnsi="Arial" w:cs="Arial"/>
        </w:rPr>
        <w:t>Easy has a centralized purchasing model based on demand forec</w:t>
      </w:r>
      <w:r>
        <w:rPr>
          <w:rFonts w:ascii="Arial" w:hAnsi="Arial" w:cs="Arial"/>
        </w:rPr>
        <w:t>asting. However, each store can generate its own supplementary purchases. Price and commercial terms are overseen by different business managers in charge of negotiating with major providers. The product mix is determined based on the needs of the particul</w:t>
      </w:r>
      <w:r>
        <w:rPr>
          <w:rFonts w:ascii="Arial" w:hAnsi="Arial" w:cs="Arial"/>
        </w:rPr>
        <w:t>ar community that the store serves. Each year a commercial agreement is signed with each of our suppliers. These commercial agreements are standard for all suppliers and cover the terms on which goods are bought by Easy including volume, discounts, marketi</w:t>
      </w:r>
      <w:r>
        <w:rPr>
          <w:rFonts w:ascii="Arial" w:hAnsi="Arial" w:cs="Arial"/>
        </w:rPr>
        <w:t>ng expenses born by the supplier, fees charged for the use of space in the store, logistics expenses, and space in new stores. Our Easy home improvement stores in Chile have an average selling area of ranging from 1,500 square meters to 14,469 square meter</w:t>
      </w:r>
      <w:r>
        <w:rPr>
          <w:rFonts w:ascii="Arial" w:hAnsi="Arial" w:cs="Arial"/>
        </w:rPr>
        <w:t>s, with an average of 9,505 square meters of selling area. Currently, the largest of these is the Easy home improvement store in Vi_a del Mar which has 14,469 square meters of selling area. As of December 31, 2011 our Easy home improvement stores had an av</w:t>
      </w:r>
      <w:r>
        <w:rPr>
          <w:rFonts w:ascii="Arial" w:hAnsi="Arial" w:cs="Arial"/>
        </w:rPr>
        <w:t>erage of 12 checkouts, carry more than 30,000 SKUs and average 166 employees. Each of our Easy home improvement stores has easily accessible car parking and many are located at our shopping centers. Our Easy home improvement stores in Chile served approxim</w:t>
      </w:r>
      <w:r>
        <w:rPr>
          <w:rFonts w:ascii="Arial" w:hAnsi="Arial" w:cs="Arial"/>
        </w:rPr>
        <w:t xml:space="preserve">ately 18 million clients in 2011, each of whom spent an average of Ch$20,300 per visit. </w:t>
      </w:r>
    </w:p>
    <w:p w:rsidR="00000000" w:rsidRDefault="003E5AFF">
      <w:pPr>
        <w:pStyle w:val="NormalWeb"/>
        <w:spacing w:before="120" w:beforeAutospacing="0" w:after="0" w:afterAutospacing="0"/>
      </w:pPr>
      <w:r>
        <w:rPr>
          <w:rFonts w:ascii="Arial" w:hAnsi="Arial" w:cs="Arial"/>
        </w:rPr>
        <w:t>Our Easy home improvement stores offer a variety of products, including (i) flooring, paints, bath and kitchen materials; (ii) home, furniture, garden and hobby materi</w:t>
      </w:r>
      <w:r>
        <w:rPr>
          <w:rFonts w:ascii="Arial" w:hAnsi="Arial" w:cs="Arial"/>
        </w:rPr>
        <w:t xml:space="preserve">als; (iii) hardware, electrical and plumbing materials; (iv) building and wholesale construction materials; and (v) agricultural products. </w:t>
      </w:r>
    </w:p>
    <w:p w:rsidR="00000000" w:rsidRDefault="003E5AFF">
      <w:pPr>
        <w:pStyle w:val="NormalWeb"/>
        <w:spacing w:before="120" w:beforeAutospacing="0" w:after="0" w:afterAutospacing="0"/>
      </w:pPr>
      <w:r>
        <w:rPr>
          <w:rFonts w:ascii="Arial" w:hAnsi="Arial" w:cs="Arial"/>
        </w:rPr>
        <w:t>Cash and cash equivalent sales accounted for approximately 61.8% of our Easy sales in Chile for the year ended Decem</w:t>
      </w:r>
      <w:r>
        <w:rPr>
          <w:rFonts w:ascii="Arial" w:hAnsi="Arial" w:cs="Arial"/>
        </w:rPr>
        <w:t xml:space="preserve">ber 31, 2011, and credit sales accounted for approximately 11.6% during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- 189 - </w:t>
      </w:r>
    </w:p>
    <w:p w:rsidR="00000000" w:rsidRDefault="003E5AFF">
      <w:pPr>
        <w:rPr>
          <w:rFonts w:eastAsia="Times New Roman" w:cs="Times New Roman"/>
        </w:rPr>
      </w:pPr>
      <w:r>
        <w:rPr>
          <w:rFonts w:eastAsia="Times New Roman" w:cs="Times New Roman"/>
        </w:rPr>
        <w:pict>
          <v:rect id="_x0000_i1226" style="width:441.9pt;height:3pt" o:hralign="center" o:hrstd="t" o:hrnoshade="t" o:hr="t" fillcolor="#999" stroked="f"/>
        </w:pict>
      </w:r>
    </w:p>
    <w:p w:rsidR="00000000" w:rsidRDefault="003E5AFF">
      <w:pPr>
        <w:pStyle w:val="Heading5"/>
        <w:rPr>
          <w:rFonts w:eastAsia="Times New Roman" w:cs="Times New Roman"/>
        </w:rPr>
      </w:pPr>
      <w:hyperlink r:id="rId24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same period. For year ended December 31, 2011, approxim</w:t>
      </w:r>
      <w:r>
        <w:rPr>
          <w:rFonts w:ascii="Arial" w:hAnsi="Arial" w:cs="Arial"/>
        </w:rPr>
        <w:t xml:space="preserve">ately 26.3% of our Easy sales were made with one of our M_s credit cards. See __Financial Services._ </w:t>
      </w:r>
    </w:p>
    <w:p w:rsidR="00000000" w:rsidRDefault="003E5AFF">
      <w:pPr>
        <w:pStyle w:val="NormalWeb"/>
        <w:spacing w:before="240" w:beforeAutospacing="0" w:after="0" w:afterAutospacing="0"/>
      </w:pPr>
      <w:r>
        <w:rPr>
          <w:rFonts w:ascii="Arial" w:hAnsi="Arial" w:cs="Arial"/>
          <w:b/>
          <w:bCs/>
          <w:i/>
          <w:iCs/>
        </w:rPr>
        <w:t xml:space="preserve">Argentina </w:t>
      </w:r>
    </w:p>
    <w:p w:rsidR="00000000" w:rsidRDefault="003E5AFF">
      <w:pPr>
        <w:pStyle w:val="NormalWeb"/>
        <w:spacing w:before="120" w:beforeAutospacing="0" w:after="0" w:afterAutospacing="0"/>
      </w:pPr>
      <w:r>
        <w:rPr>
          <w:rFonts w:ascii="Arial" w:hAnsi="Arial" w:cs="Arial"/>
        </w:rPr>
        <w:t>In Argentina, we operate our home improvement store business through 48 Easy and Blaisten home improvement stores, which had 392,772 square met</w:t>
      </w:r>
      <w:r>
        <w:rPr>
          <w:rFonts w:ascii="Arial" w:hAnsi="Arial" w:cs="Arial"/>
        </w:rPr>
        <w:t>ers of total selling space as of March 31, 2012. For year ended December 31, 2011, our home improvement stores in Argentina generated revenues from ordinary activities of Ch$541,778 million, representing 7.1% of our consolidated revenues from ordinary acti</w:t>
      </w:r>
      <w:r>
        <w:rPr>
          <w:rFonts w:ascii="Arial" w:hAnsi="Arial" w:cs="Arial"/>
        </w:rPr>
        <w:t xml:space="preserve">vities during such period. </w:t>
      </w:r>
    </w:p>
    <w:p w:rsidR="00000000" w:rsidRDefault="003E5AFF">
      <w:pPr>
        <w:pStyle w:val="NormalWeb"/>
        <w:spacing w:before="120" w:beforeAutospacing="0" w:after="0" w:afterAutospacing="0"/>
      </w:pPr>
      <w:r>
        <w:rPr>
          <w:rFonts w:ascii="Arial" w:hAnsi="Arial" w:cs="Arial"/>
        </w:rPr>
        <w:t xml:space="preserve">For the three-month period ended March 31, 2012 we generated revenues of Ch$148,833 million, representing 6.9% of our consolidated revenues. </w:t>
      </w:r>
    </w:p>
    <w:p w:rsidR="00000000" w:rsidRDefault="003E5AFF">
      <w:pPr>
        <w:pStyle w:val="NormalWeb"/>
        <w:spacing w:before="120" w:beforeAutospacing="0" w:after="0" w:afterAutospacing="0"/>
      </w:pPr>
      <w:r>
        <w:rPr>
          <w:rFonts w:ascii="Arial" w:hAnsi="Arial" w:cs="Arial"/>
        </w:rPr>
        <w:t xml:space="preserve">The following table sets forth certain performance metrics related to our Easy home improvement stores in Argentina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56"/>
        <w:gridCol w:w="261"/>
        <w:gridCol w:w="401"/>
        <w:gridCol w:w="723"/>
        <w:gridCol w:w="112"/>
        <w:gridCol w:w="261"/>
        <w:gridCol w:w="367"/>
        <w:gridCol w:w="723"/>
        <w:gridCol w:w="112"/>
        <w:gridCol w:w="261"/>
        <w:gridCol w:w="367"/>
        <w:gridCol w:w="723"/>
        <w:gridCol w:w="112"/>
        <w:gridCol w:w="261"/>
        <w:gridCol w:w="367"/>
        <w:gridCol w:w="723"/>
        <w:gridCol w:w="112"/>
        <w:gridCol w:w="262"/>
        <w:gridCol w:w="367"/>
        <w:gridCol w:w="723"/>
        <w:gridCol w:w="112"/>
      </w:tblGrid>
      <w:tr w:rsidR="00000000">
        <w:trPr>
          <w:jc w:val="center"/>
        </w:trPr>
        <w:tc>
          <w:tcPr>
            <w:tcW w:w="1800" w:type="pct"/>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392,772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364,317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391,485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392,645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350,666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9,205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8,657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(decrease) in same-store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spacing w:before="120" w:beforeAutospacing="0" w:after="0" w:afterAutospacing="0"/>
      </w:pPr>
      <w:r>
        <w:rPr>
          <w:rFonts w:ascii="Arial" w:hAnsi="Arial" w:cs="Arial"/>
        </w:rPr>
        <w:t>Our home improvement business in Argentina has expanded rapidly over the past few years, primarily through the acquisition of four former Home Depot stores in 2002 and nine Blaisten stores in 2</w:t>
      </w:r>
      <w:r>
        <w:rPr>
          <w:rFonts w:ascii="Arial" w:hAnsi="Arial" w:cs="Arial"/>
        </w:rPr>
        <w:t>008. Our home improvement stores are located in 13 provinces of Argentina and include 12 stores in the Buenos Aires federal district and 23 in the Buenos Aires province. Our Easy and Blaisten home improvement stores in Argentina have an average of 8,180 sq</w:t>
      </w:r>
      <w:r>
        <w:rPr>
          <w:rFonts w:ascii="Arial" w:hAnsi="Arial" w:cs="Arial"/>
        </w:rPr>
        <w:t>uare meters of selling space, average 14 checkouts, carry more than 35,000 SKUs and average 123 employees. Each of our Easy home improvement stores in Argentina has easily accessible car parking and many are located at our shopping centers. Our home improv</w:t>
      </w:r>
      <w:r>
        <w:rPr>
          <w:rFonts w:ascii="Arial" w:hAnsi="Arial" w:cs="Arial"/>
        </w:rPr>
        <w:t xml:space="preserve">ement stores in Argentina served approximately 18.5 million clients in 2011, each of whom spent an average of Ch$21,000 per visit. </w:t>
      </w:r>
    </w:p>
    <w:p w:rsidR="00000000" w:rsidRDefault="003E5AFF">
      <w:pPr>
        <w:pStyle w:val="NormalWeb"/>
        <w:spacing w:before="120" w:beforeAutospacing="0" w:after="0" w:afterAutospacing="0"/>
      </w:pPr>
      <w:r>
        <w:rPr>
          <w:rFonts w:ascii="Arial" w:hAnsi="Arial" w:cs="Arial"/>
        </w:rPr>
        <w:t xml:space="preserve">Our Easy home improvement stores in Argentina offer a variety of products, including (i) flooring, paints, bath and kitchen </w:t>
      </w:r>
      <w:r>
        <w:rPr>
          <w:rFonts w:ascii="Arial" w:hAnsi="Arial" w:cs="Arial"/>
        </w:rPr>
        <w:t xml:space="preserve">materials; (ii) home, furniture, garden and hobby materials; (iii) hardware, electrical and plumbing materials and (iv) building and wholesale construction materials. </w:t>
      </w:r>
    </w:p>
    <w:p w:rsidR="00000000" w:rsidRDefault="003E5AFF">
      <w:pPr>
        <w:pStyle w:val="NormalWeb"/>
        <w:spacing w:before="120" w:beforeAutospacing="0" w:after="0" w:afterAutospacing="0"/>
      </w:pPr>
      <w:r>
        <w:rPr>
          <w:rFonts w:ascii="Arial" w:hAnsi="Arial" w:cs="Arial"/>
        </w:rPr>
        <w:t>Cash and cash equivalent sales accounted for approximately 53.6% of our Easy sales in Ar</w:t>
      </w:r>
      <w:r>
        <w:rPr>
          <w:rFonts w:ascii="Arial" w:hAnsi="Arial" w:cs="Arial"/>
        </w:rPr>
        <w:t xml:space="preserve">gentina for the year ended December 31, 2011, and credit sales accounted for approximately 31.9% during the same period. For the three-month period ended March 31, 2012, approximately 16.7% of our Easy sales were made with one of our M_s credit cards. See </w:t>
      </w:r>
      <w:r>
        <w:rPr>
          <w:rFonts w:ascii="Arial" w:hAnsi="Arial" w:cs="Arial"/>
        </w:rPr>
        <w:t xml:space="preserve">__Financial Services._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- 190 - </w:t>
      </w:r>
    </w:p>
    <w:p w:rsidR="00000000" w:rsidRDefault="003E5AFF">
      <w:pPr>
        <w:rPr>
          <w:rFonts w:eastAsia="Times New Roman" w:cs="Times New Roman"/>
        </w:rPr>
      </w:pPr>
      <w:r>
        <w:rPr>
          <w:rFonts w:eastAsia="Times New Roman" w:cs="Times New Roman"/>
        </w:rPr>
        <w:pict>
          <v:rect id="_x0000_i1227" style="width:441.9pt;height:3pt" o:hralign="center" o:hrstd="t" o:hrnoshade="t" o:hr="t" fillcolor="#999" stroked="f"/>
        </w:pict>
      </w:r>
    </w:p>
    <w:p w:rsidR="00000000" w:rsidRDefault="003E5AFF">
      <w:pPr>
        <w:pStyle w:val="Heading5"/>
        <w:rPr>
          <w:rFonts w:eastAsia="Times New Roman" w:cs="Times New Roman"/>
        </w:rPr>
      </w:pPr>
      <w:hyperlink r:id="rId24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Colombia </w:t>
      </w:r>
    </w:p>
    <w:p w:rsidR="00000000" w:rsidRDefault="003E5AFF">
      <w:pPr>
        <w:pStyle w:val="NormalWeb"/>
        <w:spacing w:before="120" w:beforeAutospacing="0" w:after="0" w:afterAutospacing="0"/>
      </w:pPr>
      <w:r>
        <w:rPr>
          <w:rFonts w:ascii="Arial" w:hAnsi="Arial" w:cs="Arial"/>
        </w:rPr>
        <w:t xml:space="preserve">In May 2007, we entered into a joint venture with Casino </w:t>
      </w:r>
      <w:r>
        <w:rPr>
          <w:rFonts w:ascii="Arial" w:hAnsi="Arial" w:cs="Arial"/>
        </w:rPr>
        <w:t>to develop the home improvement store business in Colombia, and subsequently acquired 100% ownership of the joint venture. In October 2008, we opened our first Easy home improvement store in Bogota, and as of March 31, 2012 we operated four Easy home impro</w:t>
      </w:r>
      <w:r>
        <w:rPr>
          <w:rFonts w:ascii="Arial" w:hAnsi="Arial" w:cs="Arial"/>
        </w:rPr>
        <w:t>vement stores. For the year ended December 31, 2011, our Easy home improvement stores in Colombia generated revenues from ordinary activities of Ch$39,380 million, representing 0.5% of our consolidated revenues from ordinary activities for such period. For</w:t>
      </w:r>
      <w:r>
        <w:rPr>
          <w:rFonts w:ascii="Arial" w:hAnsi="Arial" w:cs="Arial"/>
        </w:rPr>
        <w:t xml:space="preserve"> the three-month period ended March 31, 2012, Easy Colombia generated revenues of CH$10,818 million, representing 0.5% of our consolidated revenues. All four of our Easy home improvement stores are located in Bogota. </w:t>
      </w:r>
    </w:p>
    <w:p w:rsidR="00000000" w:rsidRDefault="003E5AFF">
      <w:pPr>
        <w:pStyle w:val="NormalWeb"/>
        <w:spacing w:before="120" w:beforeAutospacing="0" w:after="0" w:afterAutospacing="0"/>
      </w:pPr>
      <w:r>
        <w:rPr>
          <w:rFonts w:ascii="Arial" w:hAnsi="Arial" w:cs="Arial"/>
        </w:rPr>
        <w:t xml:space="preserve">The following </w:t>
      </w:r>
      <w:r>
        <w:rPr>
          <w:rFonts w:ascii="Arial" w:hAnsi="Arial" w:cs="Arial"/>
        </w:rPr>
        <w:t xml:space="preserve">table sets forth certain performance metrics related to our Easy home improvement stores in Colombia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527"/>
        <w:gridCol w:w="260"/>
        <w:gridCol w:w="367"/>
        <w:gridCol w:w="612"/>
        <w:gridCol w:w="112"/>
        <w:gridCol w:w="260"/>
        <w:gridCol w:w="367"/>
        <w:gridCol w:w="612"/>
        <w:gridCol w:w="112"/>
        <w:gridCol w:w="260"/>
        <w:gridCol w:w="367"/>
        <w:gridCol w:w="612"/>
        <w:gridCol w:w="112"/>
        <w:gridCol w:w="261"/>
        <w:gridCol w:w="367"/>
        <w:gridCol w:w="612"/>
        <w:gridCol w:w="123"/>
        <w:gridCol w:w="261"/>
        <w:gridCol w:w="367"/>
        <w:gridCol w:w="612"/>
        <w:gridCol w:w="123"/>
      </w:tblGrid>
      <w:tr w:rsidR="00000000">
        <w:trPr>
          <w:jc w:val="center"/>
        </w:trPr>
        <w:tc>
          <w:tcPr>
            <w:tcW w:w="235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35,360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34,309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35,360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34,309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16,646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9,845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(decrease) in same-store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spacing w:before="120" w:beforeAutospacing="0" w:after="0" w:afterAutospacing="0"/>
      </w:pPr>
      <w:r>
        <w:rPr>
          <w:rFonts w:ascii="Arial" w:hAnsi="Arial" w:cs="Arial"/>
        </w:rPr>
        <w:t xml:space="preserve">Our </w:t>
      </w:r>
      <w:r>
        <w:rPr>
          <w:rFonts w:ascii="Arial" w:hAnsi="Arial" w:cs="Arial"/>
        </w:rPr>
        <w:t>Easy home improvement stores in Colombia have selling areas ranging from 8,168 square meters to 9,895 square meters, with an average selling area of 8,840 square meters. As of December 31, 2011 our Easy home improvement stores in Colombia have around 17 ch</w:t>
      </w:r>
      <w:r>
        <w:rPr>
          <w:rFonts w:ascii="Arial" w:hAnsi="Arial" w:cs="Arial"/>
        </w:rPr>
        <w:t>eckouts, carry more than 25,000 SKUs and average 126 employees. Each of our Easy home improvement stores has easily accessible car parking. Our Easy home improvement stores in Colombia served approximately 1.6 million clients in 2011 (measured in number of</w:t>
      </w:r>
      <w:r>
        <w:rPr>
          <w:rFonts w:ascii="Arial" w:hAnsi="Arial" w:cs="Arial"/>
        </w:rPr>
        <w:t xml:space="preserve"> tickets issued), each of whom spent an average of Ch$24,400 per visit. </w:t>
      </w:r>
    </w:p>
    <w:p w:rsidR="00000000" w:rsidRDefault="003E5AFF">
      <w:pPr>
        <w:pStyle w:val="NormalWeb"/>
        <w:spacing w:before="120" w:beforeAutospacing="0" w:after="0" w:afterAutospacing="0"/>
      </w:pPr>
      <w:r>
        <w:rPr>
          <w:rFonts w:ascii="Arial" w:hAnsi="Arial" w:cs="Arial"/>
        </w:rPr>
        <w:t>Our Easy home improvement stores in Colombia offer a variety of products, including (i) flooring, paints, bath and kitchen materials; (ii) home, furniture, garden and hobby materials;</w:t>
      </w:r>
      <w:r>
        <w:rPr>
          <w:rFonts w:ascii="Arial" w:hAnsi="Arial" w:cs="Arial"/>
        </w:rPr>
        <w:t xml:space="preserve"> (iii) hardware, electrical and plumbing materials; (iv) building and wholesale construction materials and (v) agricultural products. </w:t>
      </w:r>
    </w:p>
    <w:p w:rsidR="00000000" w:rsidRDefault="003E5AFF">
      <w:pPr>
        <w:pStyle w:val="NormalWeb"/>
        <w:spacing w:before="120" w:beforeAutospacing="0" w:after="0" w:afterAutospacing="0"/>
      </w:pPr>
      <w:r>
        <w:rPr>
          <w:rFonts w:ascii="Arial" w:hAnsi="Arial" w:cs="Arial"/>
        </w:rPr>
        <w:t>Cash and cash equivalent sales accounted for approximately 57.2% of our Easy sales in Colombia for the year ended Decembe</w:t>
      </w:r>
      <w:r>
        <w:rPr>
          <w:rFonts w:ascii="Arial" w:hAnsi="Arial" w:cs="Arial"/>
        </w:rPr>
        <w:t xml:space="preserve">r 31, 2011, and credit sales accounted for approximately 42.8% during the same period. </w:t>
      </w:r>
    </w:p>
    <w:p w:rsidR="00000000" w:rsidRDefault="003E5AFF">
      <w:pPr>
        <w:pStyle w:val="NormalWeb"/>
        <w:spacing w:before="240" w:beforeAutospacing="0" w:after="0" w:afterAutospacing="0"/>
      </w:pPr>
      <w:r>
        <w:rPr>
          <w:rFonts w:ascii="Arial" w:hAnsi="Arial" w:cs="Arial"/>
          <w:b/>
          <w:bCs/>
          <w:sz w:val="24"/>
          <w:szCs w:val="24"/>
        </w:rPr>
        <w:t xml:space="preserve">Department stores </w:t>
      </w:r>
    </w:p>
    <w:p w:rsidR="00000000" w:rsidRDefault="003E5AFF">
      <w:pPr>
        <w:pStyle w:val="NormalWeb"/>
        <w:spacing w:before="120" w:beforeAutospacing="0" w:after="0" w:afterAutospacing="0"/>
      </w:pPr>
      <w:r>
        <w:rPr>
          <w:rFonts w:ascii="Arial" w:hAnsi="Arial" w:cs="Arial"/>
        </w:rPr>
        <w:t>We entered the department store business in March 2005 through the acquisition of Empresas Almacenes Paris S.A., one of Chile_s leading department st</w:t>
      </w:r>
      <w:r>
        <w:rPr>
          <w:rFonts w:ascii="Arial" w:hAnsi="Arial" w:cs="Arial"/>
        </w:rPr>
        <w:t>ores in terms of sales and number of stores. The principal activity of Paris is the retail sale of clothing products (including clothes for women, men and children, shoes and accessories) which represent approximately 50.5% of Paris_ sales, as well as of h</w:t>
      </w:r>
      <w:r>
        <w:rPr>
          <w:rFonts w:ascii="Arial" w:hAnsi="Arial" w:cs="Arial"/>
        </w:rPr>
        <w:t xml:space="preserve">ousehold goods, electronics and technology products which represent the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- 191 - </w:t>
      </w:r>
    </w:p>
    <w:p w:rsidR="00000000" w:rsidRDefault="003E5AFF">
      <w:pPr>
        <w:rPr>
          <w:rFonts w:eastAsia="Times New Roman" w:cs="Times New Roman"/>
        </w:rPr>
      </w:pPr>
      <w:r>
        <w:rPr>
          <w:rFonts w:eastAsia="Times New Roman" w:cs="Times New Roman"/>
        </w:rPr>
        <w:pict>
          <v:rect id="_x0000_i1228" style="width:441.9pt;height:3pt" o:hralign="center" o:hrstd="t" o:hrnoshade="t" o:hr="t" fillcolor="#999" stroked="f"/>
        </w:pict>
      </w:r>
    </w:p>
    <w:p w:rsidR="00000000" w:rsidRDefault="003E5AFF">
      <w:pPr>
        <w:pStyle w:val="Heading5"/>
        <w:rPr>
          <w:rFonts w:eastAsia="Times New Roman" w:cs="Times New Roman"/>
        </w:rPr>
      </w:pPr>
      <w:hyperlink r:id="rId24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other 49.5% of Paris_ sales</w:t>
      </w:r>
      <w:r>
        <w:rPr>
          <w:rFonts w:ascii="Arial" w:hAnsi="Arial" w:cs="Arial"/>
        </w:rPr>
        <w:t>. March 31, 2012, we estimate that we were the second-largest department store operator in Chile, in terms of sales. Based on our comparison against information from public filings of our main competitors as of December 31, 2011, we also believe we have th</w:t>
      </w:r>
      <w:r>
        <w:rPr>
          <w:rFonts w:ascii="Arial" w:hAnsi="Arial" w:cs="Arial"/>
        </w:rPr>
        <w:t xml:space="preserve">e largest selling space for department stores in Chile. </w:t>
      </w:r>
    </w:p>
    <w:p w:rsidR="00000000" w:rsidRDefault="003E5AFF">
      <w:pPr>
        <w:pStyle w:val="NormalWeb"/>
        <w:spacing w:before="120" w:beforeAutospacing="0" w:after="0" w:afterAutospacing="0"/>
      </w:pPr>
      <w:r>
        <w:rPr>
          <w:rFonts w:ascii="Arial" w:hAnsi="Arial" w:cs="Arial"/>
        </w:rPr>
        <w:t>March 31, 2012 we operated 35 Paris department stores and 31 Johnson_s department stores in Chile, which together had 358,837 square meters of total selling space. For the years ended December 31, 20</w:t>
      </w:r>
      <w:r>
        <w:rPr>
          <w:rFonts w:ascii="Arial" w:hAnsi="Arial" w:cs="Arial"/>
        </w:rPr>
        <w:t>11, 2010 and 2009, our department stores generated revenues from ordinary activities of Ch$690,772 million, Ch$622,719 million and Ch$516,537 million, respectively, representing 9.1%, 10.0% and 9.3% of our consolidated revenues from ordinary activities for</w:t>
      </w:r>
      <w:r>
        <w:rPr>
          <w:rFonts w:ascii="Arial" w:hAnsi="Arial" w:cs="Arial"/>
        </w:rPr>
        <w:t xml:space="preserve"> such periods. </w:t>
      </w:r>
    </w:p>
    <w:p w:rsidR="00000000" w:rsidRDefault="003E5AFF">
      <w:pPr>
        <w:pStyle w:val="NormalWeb"/>
        <w:spacing w:before="120" w:beforeAutospacing="0" w:after="0" w:afterAutospacing="0"/>
      </w:pPr>
      <w:r>
        <w:rPr>
          <w:rFonts w:ascii="Arial" w:hAnsi="Arial" w:cs="Arial"/>
        </w:rPr>
        <w:t>For the three-month periods ended March 31, 2012 and 2011, our department stores segment generated revenues from ordinary activities of Ch$184,480 million and Ch$143,612 million, respectively, representing 8.5% and 8.3%, respectively, of ou</w:t>
      </w:r>
      <w:r>
        <w:rPr>
          <w:rFonts w:ascii="Arial" w:hAnsi="Arial" w:cs="Arial"/>
        </w:rPr>
        <w:t xml:space="preserve">r consolidated revenues from ordinary activities for such periods. </w:t>
      </w:r>
    </w:p>
    <w:p w:rsidR="00000000" w:rsidRDefault="003E5AFF">
      <w:pPr>
        <w:pStyle w:val="NormalWeb"/>
        <w:spacing w:before="120" w:beforeAutospacing="0" w:after="0" w:afterAutospacing="0"/>
      </w:pPr>
      <w:r>
        <w:rPr>
          <w:rFonts w:ascii="Arial" w:hAnsi="Arial" w:cs="Arial"/>
        </w:rPr>
        <w:t xml:space="preserve">The following table sets forth certain performance metrics related to our department stores in Chile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56"/>
        <w:gridCol w:w="265"/>
        <w:gridCol w:w="367"/>
        <w:gridCol w:w="723"/>
        <w:gridCol w:w="112"/>
        <w:gridCol w:w="266"/>
        <w:gridCol w:w="367"/>
        <w:gridCol w:w="723"/>
        <w:gridCol w:w="112"/>
        <w:gridCol w:w="266"/>
        <w:gridCol w:w="367"/>
        <w:gridCol w:w="723"/>
        <w:gridCol w:w="112"/>
        <w:gridCol w:w="266"/>
        <w:gridCol w:w="367"/>
        <w:gridCol w:w="723"/>
        <w:gridCol w:w="112"/>
        <w:gridCol w:w="266"/>
        <w:gridCol w:w="367"/>
        <w:gridCol w:w="723"/>
        <w:gridCol w:w="123"/>
      </w:tblGrid>
      <w:tr w:rsidR="00000000">
        <w:trPr>
          <w:jc w:val="center"/>
        </w:trPr>
        <w:tc>
          <w:tcPr>
            <w:tcW w:w="1800" w:type="pct"/>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selling space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358,837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236,489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272,388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234,489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216,193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4,224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19,736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18,315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17,218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0.61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Increase (decrease) in same-store sales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selling space and same-store sales. </w:t>
            </w:r>
          </w:p>
        </w:tc>
      </w:tr>
    </w:tbl>
    <w:p w:rsidR="00000000" w:rsidRDefault="003E5AFF">
      <w:pPr>
        <w:pStyle w:val="NormalWeb"/>
        <w:spacing w:before="120" w:beforeAutospacing="0" w:after="0" w:afterAutospacing="0"/>
      </w:pPr>
      <w:r>
        <w:rPr>
          <w:rFonts w:ascii="Arial" w:hAnsi="Arial" w:cs="Arial"/>
        </w:rPr>
        <w:t>Our Paris department stores served approximately 28 </w:t>
      </w:r>
      <w:r>
        <w:rPr>
          <w:rFonts w:ascii="Arial" w:hAnsi="Arial" w:cs="Arial"/>
        </w:rPr>
        <w:t xml:space="preserve">million clients in 2011 (measured in number of tickets issued), each of whom spent an average of Ch$24,690 per visit. Our Paris department stores in Chile have selling areas ranging from 2,926 square meters to 13,175 square meters, with an average selling </w:t>
      </w:r>
      <w:r>
        <w:rPr>
          <w:rFonts w:ascii="Arial" w:hAnsi="Arial" w:cs="Arial"/>
        </w:rPr>
        <w:t>area of 8,119 square meters. Currently, the largest of these is the Paris department store in Plaza Oeste which has 13,175 square meters of selling area. Our Paris department stores had approximately 83 checkouts, carried more than 113,000 SKUs and an aver</w:t>
      </w:r>
      <w:r>
        <w:rPr>
          <w:rFonts w:ascii="Arial" w:hAnsi="Arial" w:cs="Arial"/>
        </w:rPr>
        <w:t xml:space="preserve">age of 262 employees. </w:t>
      </w:r>
    </w:p>
    <w:p w:rsidR="00000000" w:rsidRDefault="003E5AFF">
      <w:pPr>
        <w:pStyle w:val="NormalWeb"/>
        <w:spacing w:before="120" w:beforeAutospacing="0" w:after="0" w:afterAutospacing="0"/>
      </w:pPr>
      <w:r>
        <w:rPr>
          <w:rFonts w:ascii="Arial" w:hAnsi="Arial" w:cs="Arial"/>
        </w:rPr>
        <w:t xml:space="preserve">Our Paris department stores carry a variety of products, including (i) clothing, (ii) accessories and cosmetics, (iii) home d_cor, (iv) electronic and household appliances, (v) sporting goods, and (vi) footwear. Our Paris department </w:t>
      </w:r>
      <w:r>
        <w:rPr>
          <w:rFonts w:ascii="Arial" w:hAnsi="Arial" w:cs="Arial"/>
        </w:rPr>
        <w:t xml:space="preserve">stores currently carry private label products under the brands Tribu, Opposite, Aussy, Greenfield and Alaniz. During the year ended December 31, 2011, our private label products represented 24.5% of our department store revenues. </w:t>
      </w:r>
    </w:p>
    <w:p w:rsidR="00000000" w:rsidRDefault="003E5AFF">
      <w:pPr>
        <w:pStyle w:val="NormalWeb"/>
        <w:spacing w:before="120" w:beforeAutospacing="0" w:after="0" w:afterAutospacing="0"/>
      </w:pPr>
      <w:r>
        <w:rPr>
          <w:rFonts w:ascii="Arial" w:hAnsi="Arial" w:cs="Arial"/>
        </w:rPr>
        <w:t xml:space="preserve">Cash and cash equivalent </w:t>
      </w:r>
      <w:r>
        <w:rPr>
          <w:rFonts w:ascii="Arial" w:hAnsi="Arial" w:cs="Arial"/>
        </w:rPr>
        <w:t>sales accounted for approximately 51.0% of our Paris sales in Chile for the year ended December 31, 2011, and credit sales accounted for approximately 49.0% during the same period. Paris supports the sale of its products and services through our M_s credit</w:t>
      </w:r>
      <w:r>
        <w:rPr>
          <w:rFonts w:ascii="Arial" w:hAnsi="Arial" w:cs="Arial"/>
        </w:rPr>
        <w:t xml:space="preserve"> cards, which as of December 31, 2011, accounted for over 1.7 million of active cards. During the year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- 192 - </w:t>
      </w:r>
    </w:p>
    <w:p w:rsidR="00000000" w:rsidRDefault="003E5AFF">
      <w:pPr>
        <w:rPr>
          <w:rFonts w:eastAsia="Times New Roman" w:cs="Times New Roman"/>
        </w:rPr>
      </w:pPr>
      <w:r>
        <w:rPr>
          <w:rFonts w:eastAsia="Times New Roman" w:cs="Times New Roman"/>
        </w:rPr>
        <w:pict>
          <v:rect id="_x0000_i1229" style="width:441.9pt;height:3pt" o:hralign="center" o:hrstd="t" o:hrnoshade="t" o:hr="t" fillcolor="#999" stroked="f"/>
        </w:pict>
      </w:r>
    </w:p>
    <w:p w:rsidR="00000000" w:rsidRDefault="003E5AFF">
      <w:pPr>
        <w:pStyle w:val="Heading5"/>
        <w:rPr>
          <w:rFonts w:eastAsia="Times New Roman" w:cs="Times New Roman"/>
        </w:rPr>
      </w:pPr>
      <w:hyperlink r:id="rId24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ended December 31, 2011, approximately 53.0% of Paris_ tota</w:t>
      </w:r>
      <w:r>
        <w:rPr>
          <w:rFonts w:ascii="Arial" w:hAnsi="Arial" w:cs="Arial"/>
        </w:rPr>
        <w:t xml:space="preserve">l sales were made with M_s cards. For the three-month period ended March 31, 2012, approximately 47.0% of Paris total sales were made with M_s credit cards. </w:t>
      </w:r>
    </w:p>
    <w:p w:rsidR="00000000" w:rsidRDefault="003E5AFF">
      <w:pPr>
        <w:pStyle w:val="NormalWeb"/>
        <w:spacing w:before="240" w:beforeAutospacing="0" w:after="0" w:afterAutospacing="0"/>
      </w:pPr>
      <w:r>
        <w:rPr>
          <w:rFonts w:ascii="Arial" w:hAnsi="Arial" w:cs="Arial"/>
          <w:b/>
          <w:bCs/>
          <w:sz w:val="24"/>
          <w:szCs w:val="24"/>
        </w:rPr>
        <w:t xml:space="preserve">Shopping centers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We entered the shopping center business in 1988 when we opened Unicente</w:t>
      </w:r>
      <w:r>
        <w:rPr>
          <w:rFonts w:ascii="Arial" w:hAnsi="Arial" w:cs="Arial"/>
        </w:rPr>
        <w:t>r in Argentina and have grown to be one of the largest owners and managers of shopping centers in South America. We operated 25 shopping centers at March 31, 2012, which together had 566,442 square meters of total leasable space. Of our 25 shopping centers</w:t>
      </w:r>
      <w:r>
        <w:rPr>
          <w:rFonts w:ascii="Arial" w:hAnsi="Arial" w:cs="Arial"/>
        </w:rPr>
        <w:t>, nine are in Chile, 14 are in Argentina and two are in Peru. We believe that we are the second-largest operator of shopping centers in Chile and Argentina, in terms of revenues, based on our comparison against information from public filings of our main c</w:t>
      </w:r>
      <w:r>
        <w:rPr>
          <w:rFonts w:ascii="Arial" w:hAnsi="Arial" w:cs="Arial"/>
        </w:rPr>
        <w:t xml:space="preserve">ompetitors as of December 31, 2011, and information provided by third-party research company, Planet Retail. Many of our shopping centers contain a Jumbo hypermarket and an Easy home improvement store, and 11 of these have an Aventura family entertainment </w:t>
      </w:r>
      <w:r>
        <w:rPr>
          <w:rFonts w:ascii="Arial" w:hAnsi="Arial" w:cs="Arial"/>
        </w:rPr>
        <w:t xml:space="preserve">center. For the year ended December 31, 2011, our shopping centers generated revenues from </w:t>
      </w:r>
    </w:p>
    <w:p w:rsidR="00000000" w:rsidRDefault="003E5AFF">
      <w:pPr>
        <w:pStyle w:val="NormalWeb"/>
        <w:spacing w:before="0" w:beforeAutospacing="0" w:after="0" w:afterAutospacing="0"/>
      </w:pPr>
      <w:r>
        <w:rPr>
          <w:rFonts w:ascii="Arial" w:hAnsi="Arial" w:cs="Arial"/>
        </w:rPr>
        <w:t>ordinary activities, gross margin and Adjusted EBITDA of Ch$129,727 million, Ch$110,278 million and Ch$99,937 million, respectively. For the three-month period ende</w:t>
      </w:r>
      <w:r>
        <w:rPr>
          <w:rFonts w:ascii="Arial" w:hAnsi="Arial" w:cs="Arial"/>
        </w:rPr>
        <w:t xml:space="preserve">d March 31, 2012, our shopping centers generated revenues from ordinary activities, gross margin and adjusted EBITDA of Ch$32,812 million, Ch$27,712 million and Ch$21,669 million, respectively. </w:t>
      </w:r>
    </w:p>
    <w:p w:rsidR="00000000" w:rsidRDefault="003E5AFF">
      <w:pPr>
        <w:pStyle w:val="NormalWeb"/>
        <w:spacing w:before="120" w:beforeAutospacing="0" w:after="0" w:afterAutospacing="0"/>
      </w:pPr>
      <w:r>
        <w:rPr>
          <w:rFonts w:ascii="Arial" w:hAnsi="Arial" w:cs="Arial"/>
        </w:rPr>
        <w:t>Shopping center segment revenues are derived principally from</w:t>
      </w:r>
      <w:r>
        <w:rPr>
          <w:rFonts w:ascii="Arial" w:hAnsi="Arial" w:cs="Arial"/>
        </w:rPr>
        <w:t xml:space="preserve"> lease payments charged to tenants. Lease payments are calculated based on a variable percentage of net sales from each store, but may be no less than the fixed minimum lease payment as specified in the terms of the lease. The percentage of revenues upon w</w:t>
      </w:r>
      <w:r>
        <w:rPr>
          <w:rFonts w:ascii="Arial" w:hAnsi="Arial" w:cs="Arial"/>
        </w:rPr>
        <w:t>hich each store_s lease payments are calculated is set forth in the respective lease agreement and is fixed through the term of the contract. These percentages vary among the type of business conducted by each retailer. In addition, each tenant pays a perc</w:t>
      </w:r>
      <w:r>
        <w:rPr>
          <w:rFonts w:ascii="Arial" w:hAnsi="Arial" w:cs="Arial"/>
        </w:rPr>
        <w:t xml:space="preserve">entage of common area costs and mall publicity. According to our experience, a new shopping center takes an average of three or four years in consolidating its incomes level. </w:t>
      </w:r>
    </w:p>
    <w:p w:rsidR="00000000" w:rsidRDefault="003E5AFF">
      <w:pPr>
        <w:pStyle w:val="NormalWeb"/>
        <w:spacing w:before="120" w:beforeAutospacing="0" w:after="0" w:afterAutospacing="0"/>
      </w:pPr>
      <w:r>
        <w:rPr>
          <w:rFonts w:ascii="Arial" w:hAnsi="Arial" w:cs="Arial"/>
        </w:rPr>
        <w:t>Over the past two years we have opened new shopping centers in Argentina (Portal</w:t>
      </w:r>
      <w:r>
        <w:rPr>
          <w:rFonts w:ascii="Arial" w:hAnsi="Arial" w:cs="Arial"/>
        </w:rPr>
        <w:t xml:space="preserve"> Trelew, with a leasable area of 5,855 square meters and an occupancy rate of 95.3%) and in Chile (Portal Nu_oa, with a leasable area of 14,690 square meters and an occupancy rate of 65.2% and Portal Belloto with a leasable area of 3,425 square meters and </w:t>
      </w:r>
      <w:r>
        <w:rPr>
          <w:rFonts w:ascii="Arial" w:hAnsi="Arial" w:cs="Arial"/>
        </w:rPr>
        <w:t xml:space="preserve">an occupancy rate of 85.6%). </w:t>
      </w:r>
    </w:p>
    <w:p w:rsidR="00000000" w:rsidRDefault="003E5AFF">
      <w:pPr>
        <w:pStyle w:val="NormalWeb"/>
        <w:spacing w:before="120" w:beforeAutospacing="0" w:after="0" w:afterAutospacing="0"/>
      </w:pPr>
      <w:r>
        <w:rPr>
          <w:rFonts w:ascii="Arial" w:hAnsi="Arial" w:cs="Arial"/>
        </w:rPr>
        <w:t xml:space="preserve">As noted previously, our shopping centers have expanded through organic growth over the past three years. The following table sets forth, for the periods indicated, information regarding the expansion of our shopping centers: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876"/>
        <w:gridCol w:w="284"/>
        <w:gridCol w:w="367"/>
        <w:gridCol w:w="723"/>
        <w:gridCol w:w="112"/>
        <w:gridCol w:w="284"/>
        <w:gridCol w:w="367"/>
        <w:gridCol w:w="723"/>
        <w:gridCol w:w="112"/>
        <w:gridCol w:w="284"/>
        <w:gridCol w:w="367"/>
        <w:gridCol w:w="723"/>
        <w:gridCol w:w="112"/>
        <w:gridCol w:w="284"/>
        <w:gridCol w:w="367"/>
        <w:gridCol w:w="723"/>
        <w:gridCol w:w="112"/>
        <w:gridCol w:w="284"/>
        <w:gridCol w:w="367"/>
        <w:gridCol w:w="723"/>
        <w:gridCol w:w="112"/>
      </w:tblGrid>
      <w:tr w:rsidR="00000000">
        <w:trPr>
          <w:jc w:val="center"/>
        </w:trPr>
        <w:tc>
          <w:tcPr>
            <w:tcW w:w="1700" w:type="pct"/>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Number of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leasable area (square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566,442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542,735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564,839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542,735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522,264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sales per store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5,189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Sales per square meter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numbers of stores and leasable area.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- 193 - </w:t>
      </w:r>
    </w:p>
    <w:p w:rsidR="00000000" w:rsidRDefault="003E5AFF">
      <w:pPr>
        <w:rPr>
          <w:rFonts w:eastAsia="Times New Roman" w:cs="Times New Roman"/>
        </w:rPr>
      </w:pPr>
      <w:r>
        <w:rPr>
          <w:rFonts w:eastAsia="Times New Roman" w:cs="Times New Roman"/>
        </w:rPr>
        <w:pict>
          <v:rect id="_x0000_i1230" style="width:441.9pt;height:3pt" o:hralign="center" o:hrstd="t" o:hrnoshade="t" o:hr="t" fillcolor="#999" stroked="f"/>
        </w:pict>
      </w:r>
    </w:p>
    <w:p w:rsidR="00000000" w:rsidRDefault="003E5AFF">
      <w:pPr>
        <w:pStyle w:val="Heading5"/>
        <w:rPr>
          <w:rFonts w:eastAsia="Times New Roman" w:cs="Times New Roman"/>
        </w:rPr>
      </w:pPr>
      <w:hyperlink r:id="rId24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The following table sets forth, for the periods indicated, the revenues from ordinary activities of our shopping centers per country: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054"/>
        <w:gridCol w:w="107"/>
        <w:gridCol w:w="75"/>
        <w:gridCol w:w="815"/>
        <w:gridCol w:w="149"/>
        <w:gridCol w:w="107"/>
        <w:gridCol w:w="75"/>
        <w:gridCol w:w="815"/>
        <w:gridCol w:w="112"/>
        <w:gridCol w:w="108"/>
        <w:gridCol w:w="56"/>
        <w:gridCol w:w="723"/>
        <w:gridCol w:w="112"/>
        <w:gridCol w:w="108"/>
        <w:gridCol w:w="56"/>
        <w:gridCol w:w="723"/>
        <w:gridCol w:w="112"/>
        <w:gridCol w:w="108"/>
        <w:gridCol w:w="56"/>
        <w:gridCol w:w="723"/>
        <w:gridCol w:w="112"/>
      </w:tblGrid>
      <w:tr w:rsidR="00000000">
        <w:trPr>
          <w:jc w:val="center"/>
        </w:trPr>
        <w:tc>
          <w:tcPr>
            <w:tcW w:w="28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16,454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14,622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64,501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54,852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51,591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14,771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13,581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59,661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53,337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46,581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1,356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8,802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9,996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32,812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129,727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116,991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108,168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240" w:beforeAutospacing="0" w:after="0" w:afterAutospacing="0"/>
      </w:pP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rPr>
        <w:t>We owned and operated nine shopping centers in Chile at March </w:t>
      </w:r>
      <w:r>
        <w:rPr>
          <w:rFonts w:ascii="Arial" w:hAnsi="Arial" w:cs="Arial"/>
        </w:rPr>
        <w:t>31, 2012, which together had 282,693 square meters of total leasable area (excluding space leased to our Jumbo and Easy stores and square meters of spaces leased to third parties within our supermarkets). Our Chilean shopping center business generated Ch$1</w:t>
      </w:r>
      <w:r>
        <w:rPr>
          <w:rFonts w:ascii="Arial" w:hAnsi="Arial" w:cs="Arial"/>
        </w:rPr>
        <w:t xml:space="preserve">6,454 million in revenues from ordinary activities during the three-month period ended December 31, 2011 (after eliminating inter-company sales which generally include revenue from rental payments by Jumbo, Easy and Paris stores), representing 0.8% of our </w:t>
      </w:r>
      <w:r>
        <w:rPr>
          <w:rFonts w:ascii="Arial" w:hAnsi="Arial" w:cs="Arial"/>
        </w:rPr>
        <w:t xml:space="preserve">consolidated revenues from ordinary activities for such period. This revenue takes into consideration our nine shopping centers, as well as space rented to third parties in our stores. </w:t>
      </w:r>
    </w:p>
    <w:p w:rsidR="00000000" w:rsidRDefault="003E5AFF">
      <w:pPr>
        <w:pStyle w:val="NormalWeb"/>
        <w:spacing w:before="120" w:beforeAutospacing="0" w:after="0" w:afterAutospacing="0"/>
      </w:pPr>
      <w:r>
        <w:rPr>
          <w:rFonts w:ascii="Arial" w:hAnsi="Arial" w:cs="Arial"/>
        </w:rPr>
        <w:t>We seek to _anchor_ shopping centers around Paris, Jumbo and Easy stor</w:t>
      </w:r>
      <w:r>
        <w:rPr>
          <w:rFonts w:ascii="Arial" w:hAnsi="Arial" w:cs="Arial"/>
        </w:rPr>
        <w:t>es and to promote the flow of consumers to such destinations by including other tenants that complement the services and merchandise offered by the _anchor_ tenants. Since 2002, we have also actively worked to promote this flow with the launch of our Avent</w:t>
      </w:r>
      <w:r>
        <w:rPr>
          <w:rFonts w:ascii="Arial" w:hAnsi="Arial" w:cs="Arial"/>
        </w:rPr>
        <w:t>ura family entertainment centers. As of March 31, 2012 we operated four Aventura centers in our shopping centers in Chile at Alto Las Condes, Florida Center, Portal Temuco and Portal Nu_oa. The Aventura centers offer families the ability to enjoy different</w:t>
      </w:r>
      <w:r>
        <w:rPr>
          <w:rFonts w:ascii="Arial" w:hAnsi="Arial" w:cs="Arial"/>
        </w:rPr>
        <w:t xml:space="preserve"> entertainment activities, such as electronic games, bowling and birthday parties. </w:t>
      </w:r>
    </w:p>
    <w:p w:rsidR="00000000" w:rsidRDefault="003E5AFF">
      <w:pPr>
        <w:pStyle w:val="NormalWeb"/>
        <w:spacing w:before="120" w:beforeAutospacing="0" w:after="0" w:afterAutospacing="0"/>
      </w:pPr>
      <w:r>
        <w:rPr>
          <w:rFonts w:ascii="Arial" w:hAnsi="Arial" w:cs="Arial"/>
        </w:rPr>
        <w:t xml:space="preserve">The following table shows certain information regarding the shopping centers we own in Chile as of and for the three months ended March 31, 2012: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717"/>
        <w:gridCol w:w="290"/>
        <w:gridCol w:w="56"/>
        <w:gridCol w:w="1012"/>
        <w:gridCol w:w="112"/>
        <w:gridCol w:w="291"/>
        <w:gridCol w:w="91"/>
        <w:gridCol w:w="721"/>
        <w:gridCol w:w="112"/>
        <w:gridCol w:w="291"/>
        <w:gridCol w:w="108"/>
        <w:gridCol w:w="1393"/>
        <w:gridCol w:w="112"/>
      </w:tblGrid>
      <w:tr w:rsidR="00000000">
        <w:trPr>
          <w:jc w:val="center"/>
        </w:trPr>
        <w:tc>
          <w:tcPr>
            <w:tcW w:w="3200" w:type="pct"/>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Location</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Opening</w:t>
            </w:r>
            <w:r>
              <w:rPr>
                <w:rFonts w:ascii="Arial" w:eastAsia="Times New Roman" w:hAnsi="Arial" w:cs="Arial"/>
                <w:b/>
                <w:bCs/>
              </w:rPr>
              <w:br/>
              <w:t>year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Gross leasable</w:t>
            </w:r>
            <w:r>
              <w:rPr>
                <w:rFonts w:ascii="Arial" w:eastAsia="Times New Roman" w:hAnsi="Arial" w:cs="Arial"/>
                <w:b/>
                <w:bCs/>
              </w:rPr>
              <w:br/>
              <w:t>are</w:t>
            </w:r>
            <w:r>
              <w:rPr>
                <w:rFonts w:ascii="Arial" w:eastAsia="Times New Roman" w:hAnsi="Arial" w:cs="Arial"/>
                <w:b/>
                <w:bCs/>
              </w:rPr>
              <w:t>a</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Florida Center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Santiago</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75,797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Alto Las Condes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Santiago</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76,110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Portal La Reina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Santiago</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4,087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Portal Rancagua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Rancagua</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Portal El Belloto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Quilpue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23,332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Portal La Dehesa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Santiago</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46,407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Portal Temuco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Temuco</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29,534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Portal Valpara_so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Valpara_so</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Portal Nu_oa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Santiago</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14,690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282,693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Excludes space leased to our Jumbo and Easy stores and our 30,377 square meters of space leased to third parties within our supermarket.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- 194 - </w:t>
      </w:r>
    </w:p>
    <w:p w:rsidR="00000000" w:rsidRDefault="003E5AFF">
      <w:pPr>
        <w:rPr>
          <w:rFonts w:eastAsia="Times New Roman" w:cs="Times New Roman"/>
        </w:rPr>
      </w:pPr>
      <w:r>
        <w:rPr>
          <w:rFonts w:eastAsia="Times New Roman" w:cs="Times New Roman"/>
        </w:rPr>
        <w:pict>
          <v:rect id="_x0000_i1231" style="width:441.9pt;height:3pt" o:hralign="center" o:hrstd="t" o:hrnoshade="t" o:hr="t" fillcolor="#999" stroked="f"/>
        </w:pict>
      </w:r>
    </w:p>
    <w:p w:rsidR="00000000" w:rsidRDefault="003E5AFF">
      <w:pPr>
        <w:pStyle w:val="Heading5"/>
        <w:rPr>
          <w:rFonts w:eastAsia="Times New Roman" w:cs="Times New Roman"/>
        </w:rPr>
      </w:pPr>
      <w:hyperlink r:id="rId24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Our three largest shopping centers in Chile are Alto Las Condes, Florida Center and Portal La D</w:t>
      </w:r>
      <w:r>
        <w:rPr>
          <w:rFonts w:ascii="Arial" w:hAnsi="Arial" w:cs="Arial"/>
        </w:rPr>
        <w:t xml:space="preserve">ehesa. Alto Las Condes opened in 1993 and Florida Center and Portal La Dehesa opened in the second half of 2003. </w:t>
      </w:r>
    </w:p>
    <w:p w:rsidR="00000000" w:rsidRDefault="003E5AFF">
      <w:pPr>
        <w:pStyle w:val="NormalWeb"/>
        <w:spacing w:before="120" w:beforeAutospacing="0" w:after="0" w:afterAutospacing="0"/>
      </w:pPr>
      <w:r>
        <w:rPr>
          <w:rFonts w:ascii="Arial" w:hAnsi="Arial" w:cs="Arial"/>
        </w:rPr>
        <w:t>Alto Las Condes is a 251-store shopping center located in the commercial area of Las Condes, an affluent suburb of Santiago. As of December 31</w:t>
      </w:r>
      <w:r>
        <w:rPr>
          <w:rFonts w:ascii="Arial" w:hAnsi="Arial" w:cs="Arial"/>
        </w:rPr>
        <w:t>, 2011, the occupancy rate in Alto Las Condes was 100%. It has three department stores, Paris, Falabella and Ripley and offers a complete range of services including cinemas, food courts, an Aventura entertainment center, a medical center, ample parking an</w:t>
      </w:r>
      <w:r>
        <w:rPr>
          <w:rFonts w:ascii="Arial" w:hAnsi="Arial" w:cs="Arial"/>
        </w:rPr>
        <w:t xml:space="preserve">d a wide-variety of stores. </w:t>
      </w:r>
    </w:p>
    <w:p w:rsidR="00000000" w:rsidRDefault="003E5AFF">
      <w:pPr>
        <w:pStyle w:val="NormalWeb"/>
        <w:spacing w:before="120" w:beforeAutospacing="0" w:after="0" w:afterAutospacing="0"/>
      </w:pPr>
      <w:r>
        <w:rPr>
          <w:rFonts w:ascii="Arial" w:hAnsi="Arial" w:cs="Arial"/>
        </w:rPr>
        <w:t>Florida Center, our second-largest shopping center, is a 183-store shopping center located in La Florida in the southern area of Santiago. As of December 31, 2011, the occupancy rate in Florida Center was 99%. Florida Center ha</w:t>
      </w:r>
      <w:r>
        <w:rPr>
          <w:rFonts w:ascii="Arial" w:hAnsi="Arial" w:cs="Arial"/>
        </w:rPr>
        <w:t xml:space="preserve">s three department stores, Paris, Ripley and La Polar and a complete range of services, as well as an Aventura entertainment center. We own the land on which the Florida Center was constructed. </w:t>
      </w:r>
    </w:p>
    <w:p w:rsidR="00000000" w:rsidRDefault="003E5AFF">
      <w:pPr>
        <w:pStyle w:val="NormalWeb"/>
        <w:spacing w:before="120" w:beforeAutospacing="0" w:after="0" w:afterAutospacing="0"/>
      </w:pPr>
      <w:r>
        <w:rPr>
          <w:rFonts w:ascii="Arial" w:hAnsi="Arial" w:cs="Arial"/>
        </w:rPr>
        <w:t>Portal La Dehesa, our third-largest shopping center, is a 113</w:t>
      </w:r>
      <w:r>
        <w:rPr>
          <w:rFonts w:ascii="Arial" w:hAnsi="Arial" w:cs="Arial"/>
        </w:rPr>
        <w:t>-store shopping center located in Lo Barnechea, one of Santiago_s most affluent neighborhoods. As of December 31, 2011, the occupancy rate in Portal La Dehesa was 99%. It has two department stores, Falabella and Ripley, and offers a complete range of servi</w:t>
      </w:r>
      <w:r>
        <w:rPr>
          <w:rFonts w:ascii="Arial" w:hAnsi="Arial" w:cs="Arial"/>
        </w:rPr>
        <w:t xml:space="preserve">ces including cinemas, food courts, a medical center, ample parking and a wide-variety of stores. </w:t>
      </w:r>
    </w:p>
    <w:p w:rsidR="00000000" w:rsidRDefault="003E5AFF">
      <w:pPr>
        <w:pStyle w:val="NormalWeb"/>
        <w:spacing w:before="120" w:beforeAutospacing="0" w:after="0" w:afterAutospacing="0"/>
        <w:ind w:left="238" w:hanging="245"/>
      </w:pPr>
      <w:r>
        <w:rPr>
          <w:rFonts w:ascii="Arial" w:hAnsi="Arial" w:cs="Arial"/>
        </w:rPr>
        <w:t xml:space="preserve">We are currently in the process of constructing two additional shopping centers in Chile: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Portal Osorno, Osorno (expected to open in the second quarter of 2012); and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Costanera Center, Santiago (expected to open in the second quarter of 2012). </w:t>
            </w:r>
          </w:p>
        </w:tc>
      </w:tr>
    </w:tbl>
    <w:p w:rsidR="00000000" w:rsidRDefault="003E5AFF">
      <w:pPr>
        <w:pStyle w:val="NormalWeb"/>
        <w:spacing w:before="120" w:beforeAutospacing="0" w:after="0" w:afterAutospacing="0"/>
      </w:pPr>
      <w:r>
        <w:rPr>
          <w:rFonts w:ascii="Arial" w:hAnsi="Arial" w:cs="Arial"/>
        </w:rPr>
        <w:t>Costanera Center will be the largest shopping center in Chile, with approximately 139,388</w:t>
      </w:r>
      <w:r>
        <w:rPr>
          <w:rFonts w:ascii="Arial" w:hAnsi="Arial" w:cs="Arial"/>
        </w:rPr>
        <w:t xml:space="preserve"> meters square of gross leasable area. It will be located in Providencia, Santiago, near a recently developed area of office and apartment buildings, in the heart of Santiago_s financial district. The Costanera Center will be the largest multi-purpose comm</w:t>
      </w:r>
      <w:r>
        <w:rPr>
          <w:rFonts w:ascii="Arial" w:hAnsi="Arial" w:cs="Arial"/>
        </w:rPr>
        <w:t>ercial complex in Chile and will contain Jumbo, Paris, and Easy stores, as well as an enclosed six-story shopping center, movie cinemas, a four- and a five-star hotel, office towers and five levels of underground parking spaces with capacity for approximat</w:t>
      </w:r>
      <w:r>
        <w:rPr>
          <w:rFonts w:ascii="Arial" w:hAnsi="Arial" w:cs="Arial"/>
        </w:rPr>
        <w:t>ely 6,000 cars. We own the land where the Costanera Center is being built. We believe that the Costanera Center office tower will be the highest building in South America, and was designed by world-renowned architect Cesar Pelli. The shopping center was or</w:t>
      </w:r>
      <w:r>
        <w:rPr>
          <w:rFonts w:ascii="Arial" w:hAnsi="Arial" w:cs="Arial"/>
        </w:rPr>
        <w:t xml:space="preserve">iginally scheduled to open and begin producing revenues in April 2012 and is now scheduled to open in June 2012, with an expected initial occupancy rate of approximately 80%. </w:t>
      </w:r>
    </w:p>
    <w:p w:rsidR="00000000" w:rsidRDefault="003E5AFF">
      <w:pPr>
        <w:pStyle w:val="NormalWeb"/>
        <w:spacing w:before="240" w:beforeAutospacing="0" w:after="0" w:afterAutospacing="0"/>
      </w:pPr>
      <w:r>
        <w:rPr>
          <w:rFonts w:ascii="Arial" w:hAnsi="Arial" w:cs="Arial"/>
          <w:b/>
          <w:bCs/>
          <w:i/>
          <w:iCs/>
        </w:rPr>
        <w:t xml:space="preserve">Argentina </w:t>
      </w:r>
    </w:p>
    <w:p w:rsidR="00000000" w:rsidRDefault="003E5AFF">
      <w:pPr>
        <w:pStyle w:val="NormalWeb"/>
        <w:spacing w:before="120" w:beforeAutospacing="0" w:after="0" w:afterAutospacing="0"/>
      </w:pPr>
      <w:r>
        <w:rPr>
          <w:rFonts w:ascii="Arial" w:hAnsi="Arial" w:cs="Arial"/>
        </w:rPr>
        <w:t>As of March </w:t>
      </w:r>
      <w:r>
        <w:rPr>
          <w:rFonts w:ascii="Arial" w:hAnsi="Arial" w:cs="Arial"/>
        </w:rPr>
        <w:t xml:space="preserve">31, 2012 we owned and operated 14 shopping centers in Argentina, which together had 228,999 square meters of total leasable area. Of our 14 shopping centers, nine are located in the greater Buenos Aires metropolitan area, and one each in Mendoza, Neuqu_n, </w:t>
      </w:r>
      <w:r>
        <w:rPr>
          <w:rFonts w:ascii="Arial" w:hAnsi="Arial" w:cs="Arial"/>
        </w:rPr>
        <w:t>Rosario, Tucum_n and Trelew. We operate seven Aventura family entertainment centers in our shopping centers in Argentina. Our shopping center business in Argentina generated Ch$14,771 million in revenues from ordinary activities during the three-month peri</w:t>
      </w:r>
      <w:r>
        <w:rPr>
          <w:rFonts w:ascii="Arial" w:hAnsi="Arial" w:cs="Arial"/>
        </w:rPr>
        <w:t>od ended March 31, 2012 (after eliminating inter-company sales which generally include revenue from rental payments by Jumbo and Easy stores), representing 0.7% of our consolidated revenues from ordinary activities for such period. As in Chile, this revenu</w:t>
      </w:r>
      <w:r>
        <w:rPr>
          <w:rFonts w:ascii="Arial" w:hAnsi="Arial" w:cs="Arial"/>
        </w:rPr>
        <w:t xml:space="preserve">e takes into consideration our 14 shopping centers, as well as space rented to third parties in our hypermarkets, supermarkets and home centers. Revenues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- 195 - </w:t>
      </w:r>
    </w:p>
    <w:p w:rsidR="00000000" w:rsidRDefault="003E5AFF">
      <w:pPr>
        <w:rPr>
          <w:rFonts w:eastAsia="Times New Roman" w:cs="Times New Roman"/>
        </w:rPr>
      </w:pPr>
      <w:r>
        <w:rPr>
          <w:rFonts w:eastAsia="Times New Roman" w:cs="Times New Roman"/>
        </w:rPr>
        <w:pict>
          <v:rect id="_x0000_i1232" style="width:441.9pt;height:3pt" o:hralign="center" o:hrstd="t" o:hrnoshade="t" o:hr="t" fillcolor="#999" stroked="f"/>
        </w:pict>
      </w:r>
    </w:p>
    <w:p w:rsidR="00000000" w:rsidRDefault="003E5AFF">
      <w:pPr>
        <w:pStyle w:val="Heading5"/>
        <w:rPr>
          <w:rFonts w:eastAsia="Times New Roman" w:cs="Times New Roman"/>
        </w:rPr>
      </w:pPr>
      <w:hyperlink r:id="rId24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from our Argentine shopping center operations are derived in the same manner as in Chile, using variable percentage leases with fixed minim</w:t>
      </w:r>
      <w:r>
        <w:rPr>
          <w:rFonts w:ascii="Arial" w:hAnsi="Arial" w:cs="Arial"/>
        </w:rPr>
        <w:t xml:space="preserve">um payments. Each tenant also pays a percentage of common area costs and mall publicity. </w:t>
      </w:r>
    </w:p>
    <w:p w:rsidR="00000000" w:rsidRDefault="003E5AFF">
      <w:pPr>
        <w:pStyle w:val="NormalWeb"/>
        <w:spacing w:before="120" w:beforeAutospacing="0" w:after="0" w:afterAutospacing="0"/>
      </w:pPr>
      <w:r>
        <w:rPr>
          <w:rFonts w:ascii="Arial" w:hAnsi="Arial" w:cs="Arial"/>
        </w:rPr>
        <w:t>Each of our shopping centers in Argentina has a Jumbo hypermarket or a Disco or Super Vea supermarket, and all except Unicenter have an Easy home improvement store. W</w:t>
      </w:r>
      <w:r>
        <w:rPr>
          <w:rFonts w:ascii="Arial" w:hAnsi="Arial" w:cs="Arial"/>
        </w:rPr>
        <w:t>e seek to _anchor_ shopping centers around Jumbo and Easy stores and to promote the flow of consumers to such destinations by including other tenants that complement the services and merchandise offered by Jumbo and Easy stores. Since 2002, we have also ac</w:t>
      </w:r>
      <w:r>
        <w:rPr>
          <w:rFonts w:ascii="Arial" w:hAnsi="Arial" w:cs="Arial"/>
        </w:rPr>
        <w:t xml:space="preserve">tively worked to promote this flow with the launch of our Aventura family entertainment centers. Unlike Chilean shopping centers, shopping centers in Argentina typically do not have anchor department store tenants. </w:t>
      </w:r>
    </w:p>
    <w:p w:rsidR="00000000" w:rsidRDefault="003E5AFF">
      <w:pPr>
        <w:pStyle w:val="NormalWeb"/>
        <w:spacing w:before="120" w:beforeAutospacing="0" w:after="0" w:afterAutospacing="0"/>
      </w:pPr>
      <w:r>
        <w:rPr>
          <w:rFonts w:ascii="Arial" w:hAnsi="Arial" w:cs="Arial"/>
        </w:rPr>
        <w:t>The following table presents certain inf</w:t>
      </w:r>
      <w:r>
        <w:rPr>
          <w:rFonts w:ascii="Arial" w:hAnsi="Arial" w:cs="Arial"/>
        </w:rPr>
        <w:t xml:space="preserve">ormation regarding the shopping centers we own in Argentina as of March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011"/>
        <w:gridCol w:w="311"/>
        <w:gridCol w:w="56"/>
        <w:gridCol w:w="1190"/>
        <w:gridCol w:w="112"/>
        <w:gridCol w:w="311"/>
        <w:gridCol w:w="143"/>
        <w:gridCol w:w="1136"/>
        <w:gridCol w:w="112"/>
        <w:gridCol w:w="311"/>
        <w:gridCol w:w="108"/>
        <w:gridCol w:w="1393"/>
        <w:gridCol w:w="112"/>
      </w:tblGrid>
      <w:tr w:rsidR="00000000">
        <w:trPr>
          <w:jc w:val="center"/>
        </w:trPr>
        <w:tc>
          <w:tcPr>
            <w:tcW w:w="2900" w:type="pct"/>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Location</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Opening year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Gross leasable</w:t>
            </w:r>
            <w:r>
              <w:rPr>
                <w:rFonts w:ascii="Arial" w:eastAsia="Times New Roman" w:hAnsi="Arial" w:cs="Arial"/>
                <w:b/>
                <w:bCs/>
              </w:rPr>
              <w:br/>
              <w:t>are</w:t>
            </w:r>
            <w:r>
              <w:rPr>
                <w:rFonts w:ascii="Arial" w:eastAsia="Times New Roman" w:hAnsi="Arial" w:cs="Arial"/>
                <w:b/>
                <w:bCs/>
              </w:rPr>
              <w:t>a</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Unicenter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72,378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Palmas de Pilar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31,516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Quilmes Factory</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11,687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Portal Rosario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Rosario</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Plaza Oeste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19,956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Portal Tucuman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Tucuman</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10,240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El Portal de la Patagonia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Neuquen</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Lomas Center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8,359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El Portal de Escobar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4,328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San Mart_n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1994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El Portal de los Andes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Mendoza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Palermo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Parque Brown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Buenos Aires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1982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10,797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Trelew</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Trelew</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5,718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228,999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Excludes space leased to our Jumbo, Disco, Super Vea and Easy stores. </w:t>
            </w:r>
          </w:p>
        </w:tc>
      </w:tr>
    </w:tbl>
    <w:p w:rsidR="00000000" w:rsidRDefault="003E5AFF">
      <w:pPr>
        <w:pStyle w:val="NormalWeb"/>
        <w:spacing w:before="120" w:beforeAutospacing="0" w:after="0" w:afterAutospacing="0"/>
      </w:pPr>
      <w:r>
        <w:rPr>
          <w:rFonts w:ascii="Arial" w:hAnsi="Arial" w:cs="Arial"/>
        </w:rPr>
        <w:t xml:space="preserve">Our largest shopping centers in Argentina are Unicenter and Portal Rosario which opened in 1988 and 2004, respectively. Unicenter is located in Buenos Aires and Portal Rosario in Santa Fe; each provides a complete range of services including cinemas, food </w:t>
      </w:r>
      <w:r>
        <w:rPr>
          <w:rFonts w:ascii="Arial" w:hAnsi="Arial" w:cs="Arial"/>
        </w:rPr>
        <w:t xml:space="preserve">courts, ample parking and a wide-variety of stores. Unicenter, a 271-store shopping center, was our first shopping center in Argentina. Unicenter is strategically located 25 kilometers from the center of Buenos Aires to take advantage of neighboring areas </w:t>
      </w:r>
      <w:r>
        <w:rPr>
          <w:rFonts w:ascii="Arial" w:hAnsi="Arial" w:cs="Arial"/>
        </w:rPr>
        <w:t>as well as to attract people from the affluent areas of the city. As of December 31, 2011, the occupancy rate in Unicenter was 100%. Portal Rosario, our second-largest shopping center in Argentina, is a 144-store shopping center with an occupancy rate of 9</w:t>
      </w:r>
      <w:r>
        <w:rPr>
          <w:rFonts w:ascii="Arial" w:hAnsi="Arial" w:cs="Arial"/>
        </w:rPr>
        <w:t xml:space="preserve">6%, as of December 31, 2011. </w:t>
      </w:r>
    </w:p>
    <w:p w:rsidR="00000000" w:rsidRDefault="003E5AFF">
      <w:pPr>
        <w:pStyle w:val="NormalWeb"/>
        <w:spacing w:before="240" w:beforeAutospacing="0" w:after="0" w:afterAutospacing="0"/>
      </w:pPr>
      <w:r>
        <w:rPr>
          <w:rFonts w:ascii="Arial" w:hAnsi="Arial" w:cs="Arial"/>
          <w:b/>
          <w:bCs/>
          <w:i/>
          <w:iCs/>
        </w:rPr>
        <w:t xml:space="preserve">Peru </w:t>
      </w:r>
    </w:p>
    <w:p w:rsidR="00000000" w:rsidRDefault="003E5AFF">
      <w:pPr>
        <w:pStyle w:val="NormalWeb"/>
        <w:spacing w:before="120" w:beforeAutospacing="0" w:after="0" w:afterAutospacing="0"/>
      </w:pPr>
      <w:r>
        <w:rPr>
          <w:rFonts w:ascii="Arial" w:hAnsi="Arial" w:cs="Arial"/>
        </w:rPr>
        <w:t>We own and operate two shopping centers in Peru, which together had 54,750 square meters of total leasable area. Our shopping center business in Peru generated Ch$1,587 million and revenues from ordinary activities durin</w:t>
      </w:r>
      <w:r>
        <w:rPr>
          <w:rFonts w:ascii="Arial" w:hAnsi="Arial" w:cs="Arial"/>
        </w:rPr>
        <w:t xml:space="preserve">g the three-month period ended March 31, 2012 (after eliminating inter-company sales). As in Chile, this revenue takes into consideration our two shopping centers, as well as space rented to third parties in our hypermarkets and supermarkets.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- 196 - </w:t>
      </w:r>
    </w:p>
    <w:p w:rsidR="00000000" w:rsidRDefault="003E5AFF">
      <w:pPr>
        <w:rPr>
          <w:rFonts w:eastAsia="Times New Roman" w:cs="Times New Roman"/>
        </w:rPr>
      </w:pPr>
      <w:r>
        <w:rPr>
          <w:rFonts w:eastAsia="Times New Roman" w:cs="Times New Roman"/>
        </w:rPr>
        <w:pict>
          <v:rect id="_x0000_i1233" style="width:441.9pt;height:3pt" o:hralign="center" o:hrstd="t" o:hrnoshade="t" o:hr="t" fillcolor="#999" stroked="f"/>
        </w:pict>
      </w:r>
    </w:p>
    <w:p w:rsidR="00000000" w:rsidRDefault="003E5AFF">
      <w:pPr>
        <w:pStyle w:val="Heading5"/>
        <w:rPr>
          <w:rFonts w:eastAsia="Times New Roman" w:cs="Times New Roman"/>
        </w:rPr>
      </w:pPr>
      <w:hyperlink r:id="rId250"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rPr>
        <w:t xml:space="preserve">Revenues from our Peru shopping center operations are derived in the same manner as in Chile, using variable percentage leases with fixed minimum payments. Each tenant also pays a percentage of common area costs and mall publicity. </w:t>
      </w:r>
    </w:p>
    <w:p w:rsidR="00000000" w:rsidRDefault="003E5AFF">
      <w:pPr>
        <w:pStyle w:val="NormalWeb"/>
        <w:spacing w:before="120" w:beforeAutospacing="0" w:after="0" w:afterAutospacing="0"/>
      </w:pPr>
      <w:r>
        <w:rPr>
          <w:rFonts w:ascii="Arial" w:hAnsi="Arial" w:cs="Arial"/>
        </w:rPr>
        <w:t>The follow</w:t>
      </w:r>
      <w:r>
        <w:rPr>
          <w:rFonts w:ascii="Arial" w:hAnsi="Arial" w:cs="Arial"/>
        </w:rPr>
        <w:t xml:space="preserve">ing table presents certain information regarding the shopping centers we own in Peru as of March 31, 2012: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948"/>
        <w:gridCol w:w="380"/>
        <w:gridCol w:w="95"/>
        <w:gridCol w:w="739"/>
        <w:gridCol w:w="112"/>
        <w:gridCol w:w="380"/>
        <w:gridCol w:w="143"/>
        <w:gridCol w:w="1136"/>
        <w:gridCol w:w="112"/>
        <w:gridCol w:w="380"/>
        <w:gridCol w:w="125"/>
        <w:gridCol w:w="1376"/>
        <w:gridCol w:w="380"/>
      </w:tblGrid>
      <w:tr w:rsidR="00000000">
        <w:trPr>
          <w:jc w:val="center"/>
        </w:trPr>
        <w:tc>
          <w:tcPr>
            <w:tcW w:w="3100" w:type="pct"/>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Location</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Opening year</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Gross leasable</w:t>
            </w:r>
            <w:r>
              <w:rPr>
                <w:rFonts w:ascii="Arial" w:eastAsia="Times New Roman" w:hAnsi="Arial" w:cs="Arial"/>
                <w:b/>
                <w:bCs/>
              </w:rPr>
              <w:br/>
              <w:t>are</w:t>
            </w:r>
            <w:r>
              <w:rPr>
                <w:rFonts w:ascii="Arial" w:eastAsia="Times New Roman" w:hAnsi="Arial" w:cs="Arial"/>
                <w:b/>
                <w:bCs/>
              </w:rPr>
              <w:t>a</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(square meters)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Plaza Lima Sur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Lima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46,750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Plaza Camacho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Lima</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8,000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54,750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Excludes space occupied by </w:t>
            </w:r>
            <w:r>
              <w:rPr>
                <w:rFonts w:ascii="Arial" w:eastAsia="Times New Roman" w:hAnsi="Arial" w:cs="Arial"/>
                <w:i/>
                <w:iCs/>
                <w:sz w:val="15"/>
                <w:szCs w:val="15"/>
              </w:rPr>
              <w:t>Wong</w:t>
            </w:r>
            <w:r>
              <w:rPr>
                <w:rFonts w:ascii="Arial" w:eastAsia="Times New Roman" w:hAnsi="Arial" w:cs="Arial"/>
                <w:sz w:val="15"/>
                <w:szCs w:val="15"/>
              </w:rPr>
              <w:t xml:space="preserve"> stores. </w:t>
            </w:r>
          </w:p>
        </w:tc>
      </w:tr>
    </w:tbl>
    <w:p w:rsidR="00000000" w:rsidRDefault="003E5AFF">
      <w:pPr>
        <w:pStyle w:val="NormalWeb"/>
        <w:spacing w:before="120" w:beforeAutospacing="0" w:after="0" w:afterAutospacing="0"/>
      </w:pPr>
      <w:r>
        <w:rPr>
          <w:rFonts w:ascii="Arial" w:hAnsi="Arial" w:cs="Arial"/>
        </w:rPr>
        <w:t xml:space="preserve">Plaza Lima Sur </w:t>
      </w:r>
      <w:r>
        <w:rPr>
          <w:rFonts w:ascii="Arial" w:hAnsi="Arial" w:cs="Arial"/>
        </w:rPr>
        <w:t xml:space="preserve">provides a complete range of services including cinemas, food courts, ample parking and a wide-variety of stores. We are in the process of opening an additional shopping center in Peru, to be located in the sector of Miraflores in Lima, which is scheduled </w:t>
      </w:r>
      <w:r>
        <w:rPr>
          <w:rFonts w:ascii="Arial" w:hAnsi="Arial" w:cs="Arial"/>
        </w:rPr>
        <w:t xml:space="preserve">to open in June 2012 with an occupancy rate of 100%,19 third-party stores and 1,026 square meters of gross leasable area. </w:t>
      </w:r>
    </w:p>
    <w:p w:rsidR="00000000" w:rsidRDefault="003E5AFF">
      <w:pPr>
        <w:pStyle w:val="NormalWeb"/>
        <w:spacing w:before="240" w:beforeAutospacing="0" w:after="0" w:afterAutospacing="0"/>
      </w:pPr>
      <w:r>
        <w:rPr>
          <w:rFonts w:ascii="Arial" w:hAnsi="Arial" w:cs="Arial"/>
          <w:b/>
          <w:bCs/>
          <w:sz w:val="24"/>
          <w:szCs w:val="24"/>
        </w:rPr>
        <w:t xml:space="preserve">Financial services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 xml:space="preserve">Our financial </w:t>
      </w:r>
      <w:r>
        <w:rPr>
          <w:rFonts w:ascii="Arial" w:hAnsi="Arial" w:cs="Arial"/>
        </w:rPr>
        <w:t>services division was established in 2003 when we launched our _Jumbo M_s_ credit card. With our acquisition of Paris in 2005, we obtained our predecessor_s credit card accounts and thus significantly expanded our credit card business. We have been working</w:t>
      </w:r>
      <w:r>
        <w:rPr>
          <w:rFonts w:ascii="Arial" w:hAnsi="Arial" w:cs="Arial"/>
        </w:rPr>
        <w:t xml:space="preserve"> under a multi-brand strategy in our credit card business, where all brands function under the _M_s_ umbrella with the _M_s Paris,_ _M_s Jumbo_ and _M_s Easy_ cards and all cards can be used at all of our retail stores. We are currently rolling out a singl</w:t>
      </w:r>
      <w:r>
        <w:rPr>
          <w:rFonts w:ascii="Arial" w:hAnsi="Arial" w:cs="Arial"/>
        </w:rPr>
        <w:t xml:space="preserve">e Cencosud brand for our credit cards throughout our operations in South America, which will allow us to obtain a greater advantage of the _Cencosud_ brand as well as to achieve greater operational efficiencies, as we will be able to consolidate under one </w:t>
      </w:r>
      <w:r>
        <w:rPr>
          <w:rFonts w:ascii="Arial" w:hAnsi="Arial" w:cs="Arial"/>
        </w:rPr>
        <w:t>common database all relevant information for our customers. Through this strategy, we expect to achieve higher penetration of our credit card business as we encourage consumers to use our credit cards rather than third-party cards, such as Visa or MasterCa</w:t>
      </w:r>
      <w:r>
        <w:rPr>
          <w:rFonts w:ascii="Arial" w:hAnsi="Arial" w:cs="Arial"/>
        </w:rPr>
        <w:t>rd. In Chile, during the year ended December 31, 2011, 53.3% of total sales in department stores, 15.6% in supermarkets and 19.4% in home improvement stores, were paid with one of our credit cards. In Chile, during the three-month period ended March 31, 20</w:t>
      </w:r>
      <w:r>
        <w:rPr>
          <w:rFonts w:ascii="Arial" w:hAnsi="Arial" w:cs="Arial"/>
        </w:rPr>
        <w:t>12 46.9% of total sales in our department stores segment, 16.1% in supermarkets and 19.6% in home improvement stores were paid with one of our credit cards. As of March 31, 2012, we had over 4.2 million active credit card accounts. Our financial services o</w:t>
      </w:r>
      <w:r>
        <w:rPr>
          <w:rFonts w:ascii="Arial" w:hAnsi="Arial" w:cs="Arial"/>
        </w:rPr>
        <w:t xml:space="preserve">perations also include a joint venture in Brazil and insurance brokerage in Chile.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- 197 - </w:t>
      </w:r>
    </w:p>
    <w:p w:rsidR="00000000" w:rsidRDefault="003E5AFF">
      <w:pPr>
        <w:rPr>
          <w:rFonts w:eastAsia="Times New Roman" w:cs="Times New Roman"/>
        </w:rPr>
      </w:pPr>
      <w:r>
        <w:rPr>
          <w:rFonts w:eastAsia="Times New Roman" w:cs="Times New Roman"/>
        </w:rPr>
        <w:pict>
          <v:rect id="_x0000_i1234" style="width:441.9pt;height:3pt" o:hralign="center" o:hrstd="t" o:hrnoshade="t" o:hr="t" fillcolor="#999" stroked="f"/>
        </w:pict>
      </w:r>
    </w:p>
    <w:p w:rsidR="00000000" w:rsidRDefault="003E5AFF">
      <w:pPr>
        <w:pStyle w:val="Heading5"/>
        <w:rPr>
          <w:rFonts w:eastAsia="Times New Roman" w:cs="Times New Roman"/>
        </w:rPr>
      </w:pPr>
      <w:hyperlink r:id="rId25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The following table sets forth, for the periods indicated, the revenues from ordinary activities from our financial </w:t>
      </w:r>
      <w:r>
        <w:rPr>
          <w:rFonts w:ascii="Arial" w:hAnsi="Arial" w:cs="Arial"/>
        </w:rPr>
        <w:t xml:space="preserve">services operations per country, with 80.9% of such revenues from ordinary activities coming from Chile, as of March 31, 2012: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222"/>
        <w:gridCol w:w="120"/>
        <w:gridCol w:w="56"/>
        <w:gridCol w:w="612"/>
        <w:gridCol w:w="112"/>
        <w:gridCol w:w="182"/>
        <w:gridCol w:w="56"/>
        <w:gridCol w:w="612"/>
        <w:gridCol w:w="112"/>
        <w:gridCol w:w="183"/>
        <w:gridCol w:w="56"/>
        <w:gridCol w:w="723"/>
        <w:gridCol w:w="112"/>
        <w:gridCol w:w="183"/>
        <w:gridCol w:w="56"/>
        <w:gridCol w:w="723"/>
        <w:gridCol w:w="112"/>
        <w:gridCol w:w="183"/>
        <w:gridCol w:w="56"/>
        <w:gridCol w:w="723"/>
        <w:gridCol w:w="112"/>
      </w:tblGrid>
      <w:tr w:rsidR="00000000">
        <w:trPr>
          <w:jc w:val="center"/>
        </w:trPr>
        <w:tc>
          <w:tcPr>
            <w:tcW w:w="26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Three months</w:t>
            </w:r>
            <w:r>
              <w:rPr>
                <w:rFonts w:eastAsia="Times New Roman" w:cs="Times New Roman"/>
              </w:rPr>
              <w:br/>
            </w:r>
            <w:r>
              <w:rPr>
                <w:rFonts w:ascii="Arial" w:eastAsia="Times New Roman" w:hAnsi="Arial" w:cs="Arial"/>
                <w:b/>
                <w:bCs/>
              </w:rPr>
              <w:t>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center"/>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center"/>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8"/>
            <w:vAlign w:val="bottom"/>
            <w:hideMark/>
          </w:tcPr>
          <w:p w:rsidR="00000000" w:rsidRDefault="003E5AFF">
            <w:pPr>
              <w:jc w:val="center"/>
              <w:rPr>
                <w:rFonts w:eastAsia="Times New Roman" w:cs="Times New Roman"/>
              </w:rPr>
            </w:pPr>
            <w:r>
              <w:rPr>
                <w:rFonts w:ascii="Arial" w:eastAsia="Times New Roman" w:hAnsi="Arial" w:cs="Arial"/>
                <w:b/>
                <w:bCs/>
              </w:rPr>
              <w:t>(in millions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Revenues from ordinary activities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58,607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56,087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222,560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199,727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240,231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Argentina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10,340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31,915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12,654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13,386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Brazil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4,308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Peru</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8,741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72,450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65,969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267,874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221,010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261,257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2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i/>
          <w:iCs/>
        </w:rPr>
        <w:t>Client segmentation</w:t>
      </w:r>
      <w:r>
        <w:rPr>
          <w:rFonts w:ascii="Arial" w:hAnsi="Arial" w:cs="Arial"/>
        </w:rPr>
        <w:t>.    </w:t>
      </w:r>
      <w:r>
        <w:rPr>
          <w:rFonts w:ascii="Arial" w:hAnsi="Arial" w:cs="Arial"/>
        </w:rPr>
        <w:t xml:space="preserve">Clients are segmented by income level and by risk profile. Key factors include job stability, income and payment capacity, purchasing behavior, history with us and credit track record and legal history. </w:t>
      </w:r>
    </w:p>
    <w:p w:rsidR="00000000" w:rsidRDefault="003E5AFF">
      <w:pPr>
        <w:pStyle w:val="NormalWeb"/>
        <w:spacing w:before="120" w:beforeAutospacing="0" w:after="0" w:afterAutospacing="0"/>
      </w:pPr>
      <w:r>
        <w:rPr>
          <w:rFonts w:ascii="Arial" w:hAnsi="Arial" w:cs="Arial"/>
          <w:i/>
          <w:iCs/>
        </w:rPr>
        <w:t>Credit approval process</w:t>
      </w:r>
      <w:r>
        <w:rPr>
          <w:rFonts w:ascii="Arial" w:hAnsi="Arial" w:cs="Arial"/>
        </w:rPr>
        <w:t>.    We continue to improve o</w:t>
      </w:r>
      <w:r>
        <w:rPr>
          <w:rFonts w:ascii="Arial" w:hAnsi="Arial" w:cs="Arial"/>
        </w:rPr>
        <w:t xml:space="preserve">ur credit approval process in order to better balance our customers_ need to receive fast credit approval and our desire to limit our risk exposure. Many of our clients are pre-approved on the basis of their past behavior demonstrated through our customer </w:t>
      </w:r>
      <w:r>
        <w:rPr>
          <w:rFonts w:ascii="Arial" w:hAnsi="Arial" w:cs="Arial"/>
        </w:rPr>
        <w:t>loyalty program. Applications from customers who are not in this pre-approved category are subject to an evaluation process that undergoes various controls and credit limits are a function of the client_s risk profile and the amount of information provided</w:t>
      </w:r>
      <w:r>
        <w:rPr>
          <w:rFonts w:ascii="Arial" w:hAnsi="Arial" w:cs="Arial"/>
        </w:rPr>
        <w:t>. First, the applicant_s identity and credit record is checked internally using our extensive customer credit history database. In addition, we compare the information in our credit history database against the information obtained from regional credit bur</w:t>
      </w:r>
      <w:r>
        <w:rPr>
          <w:rFonts w:ascii="Arial" w:hAnsi="Arial" w:cs="Arial"/>
        </w:rPr>
        <w:t>eaus and governmental agencies. Based on the information filed by the applicant, the information found in our credit history database and the credit bureau data, we determine the credit limit for the applicant. The applicable interest rate and down payment</w:t>
      </w:r>
      <w:r>
        <w:rPr>
          <w:rFonts w:ascii="Arial" w:hAnsi="Arial" w:cs="Arial"/>
        </w:rPr>
        <w:t xml:space="preserve"> are then calculated based on an analysis of the applicant_s credit history, repayment capacity and proof of income which is then compared against our predetermined standards. </w:t>
      </w:r>
    </w:p>
    <w:p w:rsidR="00000000" w:rsidRDefault="003E5AFF">
      <w:pPr>
        <w:pStyle w:val="NormalWeb"/>
        <w:spacing w:before="120" w:beforeAutospacing="0" w:after="0" w:afterAutospacing="0"/>
      </w:pPr>
      <w:r>
        <w:rPr>
          <w:rFonts w:ascii="Arial" w:hAnsi="Arial" w:cs="Arial"/>
        </w:rPr>
        <w:t>Credit limits and interest rates charged are periodically analyzed based on the</w:t>
      </w:r>
      <w:r>
        <w:rPr>
          <w:rFonts w:ascii="Arial" w:hAnsi="Arial" w:cs="Arial"/>
        </w:rPr>
        <w:t xml:space="preserve"> clients_ purchasing behavior and payment history state-of-the-art software, such as TRIAD and FICO. The annual standard interest rate we charge on our credit cards in Chile ranges from 0% to the legal maximum interest rate, which was 54.0% per year at Mar</w:t>
      </w:r>
      <w:r>
        <w:rPr>
          <w:rFonts w:ascii="Arial" w:hAnsi="Arial" w:cs="Arial"/>
        </w:rPr>
        <w:t xml:space="preserve">ch 31, 2012, and credit limits can be revised two times per client during a calendar year. </w:t>
      </w:r>
    </w:p>
    <w:p w:rsidR="00000000" w:rsidRDefault="003E5AFF">
      <w:pPr>
        <w:pStyle w:val="NormalWeb"/>
        <w:spacing w:before="120" w:beforeAutospacing="0" w:after="0" w:afterAutospacing="0"/>
      </w:pPr>
      <w:r>
        <w:rPr>
          <w:rFonts w:ascii="Arial" w:hAnsi="Arial" w:cs="Arial"/>
          <w:i/>
          <w:iCs/>
        </w:rPr>
        <w:t>Collection procedures</w:t>
      </w:r>
      <w:r>
        <w:rPr>
          <w:rFonts w:ascii="Arial" w:hAnsi="Arial" w:cs="Arial"/>
        </w:rPr>
        <w:t>.    We have specialized and advanced collections procedures, which are automated and include a call center which is connected to our Cyber Fin</w:t>
      </w:r>
      <w:r>
        <w:rPr>
          <w:rFonts w:ascii="Arial" w:hAnsi="Arial" w:cs="Arial"/>
        </w:rPr>
        <w:t>ancial collection system and a collection force and team of lawyers who monitor the collection of our credit card receivables. Our process is standardized across all the countries in which we operate. Our collection strategy involves initial friendly remin</w:t>
      </w:r>
      <w:r>
        <w:rPr>
          <w:rFonts w:ascii="Arial" w:hAnsi="Arial" w:cs="Arial"/>
        </w:rPr>
        <w:t xml:space="preserve">ders followed by the negotiation of a higher interest rate on any outstanding payments. Variables that determine the collection procedures include: amount past due, days since due date, payment promises, date of last contact by client and client behavior. </w:t>
      </w:r>
    </w:p>
    <w:p w:rsidR="00000000" w:rsidRDefault="003E5AFF">
      <w:pPr>
        <w:pStyle w:val="NormalWeb"/>
        <w:spacing w:before="120" w:beforeAutospacing="0" w:after="0" w:afterAutospacing="0"/>
      </w:pPr>
      <w:r>
        <w:rPr>
          <w:rFonts w:ascii="Arial" w:hAnsi="Arial" w:cs="Arial"/>
        </w:rPr>
        <w:t>Customers who are 1-15 days late in their payments receive a reminder via pre-recorded calls from an automatic call system, which include the customer_s name, the amount due and the due date. The system automatically selects customers with 1-15 day delays</w:t>
      </w:r>
      <w:r>
        <w:rPr>
          <w:rFonts w:ascii="Arial" w:hAnsi="Arial" w:cs="Arial"/>
        </w:rPr>
        <w:t xml:space="preserve"> and makes one call at this point.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- 198 - </w:t>
      </w:r>
    </w:p>
    <w:p w:rsidR="00000000" w:rsidRDefault="003E5AFF">
      <w:pPr>
        <w:rPr>
          <w:rFonts w:eastAsia="Times New Roman" w:cs="Times New Roman"/>
        </w:rPr>
      </w:pPr>
      <w:r>
        <w:rPr>
          <w:rFonts w:eastAsia="Times New Roman" w:cs="Times New Roman"/>
        </w:rPr>
        <w:pict>
          <v:rect id="_x0000_i1235" style="width:441.9pt;height:3pt" o:hralign="center" o:hrstd="t" o:hrnoshade="t" o:hr="t" fillcolor="#999" stroked="f"/>
        </w:pict>
      </w:r>
    </w:p>
    <w:p w:rsidR="00000000" w:rsidRDefault="003E5AFF">
      <w:pPr>
        <w:pStyle w:val="Heading5"/>
        <w:rPr>
          <w:rFonts w:eastAsia="Times New Roman" w:cs="Times New Roman"/>
        </w:rPr>
      </w:pPr>
      <w:hyperlink r:id="rId25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Approximately 15 to 60 days after the due date, specifically trained callers contact each customer directly as a reminder that their account is past due. This phase of the collection system is fed by an internal</w:t>
      </w:r>
      <w:r>
        <w:rPr>
          <w:rFonts w:ascii="Arial" w:hAnsi="Arial" w:cs="Arial"/>
        </w:rPr>
        <w:t xml:space="preserve"> database which automatically dials the customers_ numbers and transfers the call and the customer_s data to trained operators who use a script designed to elicit a promise of payment from the customer including amount and date. We are able to effect an av</w:t>
      </w:r>
      <w:r>
        <w:rPr>
          <w:rFonts w:ascii="Arial" w:hAnsi="Arial" w:cs="Arial"/>
        </w:rPr>
        <w:t xml:space="preserve">erage of 250 calls per operator per day, and a follow up call is also automatically scheduled when a payment has not been received by the date indicated by the customer. </w:t>
      </w:r>
    </w:p>
    <w:p w:rsidR="00000000" w:rsidRDefault="003E5AFF">
      <w:pPr>
        <w:pStyle w:val="NormalWeb"/>
        <w:spacing w:before="120" w:beforeAutospacing="0" w:after="0" w:afterAutospacing="0"/>
      </w:pPr>
      <w:r>
        <w:rPr>
          <w:rFonts w:ascii="Arial" w:hAnsi="Arial" w:cs="Arial"/>
        </w:rPr>
        <w:t>After 60 days, our actions involve a combination of continued calls and home visits a</w:t>
      </w:r>
      <w:r>
        <w:rPr>
          <w:rFonts w:ascii="Arial" w:hAnsi="Arial" w:cs="Arial"/>
        </w:rPr>
        <w:t>imed at obtaining a discharge of the debt or a payment rescheduling. Prior to this stage a customer has already received approximately 10 calls. The system assigns customers to each collector depending on their addresses and suggests the most effective rou</w:t>
      </w:r>
      <w:r>
        <w:rPr>
          <w:rFonts w:ascii="Arial" w:hAnsi="Arial" w:cs="Arial"/>
        </w:rPr>
        <w:t xml:space="preserve">te to reach a customer_s home. The strategy is to collect as much of the debt as possible or to reach a payment arrangement with the customer based on an understanding of their economic needs. </w:t>
      </w:r>
    </w:p>
    <w:p w:rsidR="00000000" w:rsidRDefault="003E5AFF">
      <w:pPr>
        <w:pStyle w:val="NormalWeb"/>
        <w:spacing w:before="120" w:beforeAutospacing="0" w:after="0" w:afterAutospacing="0"/>
      </w:pPr>
      <w:r>
        <w:rPr>
          <w:rFonts w:ascii="Arial" w:hAnsi="Arial" w:cs="Arial"/>
          <w:i/>
          <w:iCs/>
        </w:rPr>
        <w:t>Risk management</w:t>
      </w:r>
      <w:r>
        <w:rPr>
          <w:rFonts w:ascii="Arial" w:hAnsi="Arial" w:cs="Arial"/>
        </w:rPr>
        <w:t xml:space="preserve">.    Risk management is a key component of the </w:t>
      </w:r>
      <w:r>
        <w:rPr>
          <w:rFonts w:ascii="Arial" w:hAnsi="Arial" w:cs="Arial"/>
        </w:rPr>
        <w:t>financial services business and a priority for our management. The objective of our risk management policies is to achieve the right balance between risk and profitability for each of the financial products offered and customer segments covered. In order t</w:t>
      </w:r>
      <w:r>
        <w:rPr>
          <w:rFonts w:ascii="Arial" w:hAnsi="Arial" w:cs="Arial"/>
        </w:rPr>
        <w:t xml:space="preserve">o achieve this, we focus on client selection and segmentation procedures, having the right credit approval process in place, implementation of client retention policies and collection procedures. </w:t>
      </w:r>
    </w:p>
    <w:p w:rsidR="00000000" w:rsidRDefault="003E5AFF">
      <w:pPr>
        <w:pStyle w:val="NormalWeb"/>
        <w:spacing w:before="120" w:beforeAutospacing="0" w:after="0" w:afterAutospacing="0"/>
      </w:pPr>
      <w:r>
        <w:rPr>
          <w:rFonts w:ascii="Arial" w:hAnsi="Arial" w:cs="Arial"/>
        </w:rPr>
        <w:t>Risk management decisions are for the most part automated a</w:t>
      </w:r>
      <w:r>
        <w:rPr>
          <w:rFonts w:ascii="Arial" w:hAnsi="Arial" w:cs="Arial"/>
        </w:rPr>
        <w:t>nd are supported by the information technology systems we have in place. Only a few cases are analyzed separately by highly trained specialists. Our data and transaction processing systems maintain all branches linked through their local intranet, allowing</w:t>
      </w:r>
      <w:r>
        <w:rPr>
          <w:rFonts w:ascii="Arial" w:hAnsi="Arial" w:cs="Arial"/>
        </w:rPr>
        <w:t xml:space="preserve"> expediency and confidentiality in the handling and transmission of credit data. All business processes, from origination to account opening, issue of plastics, transaction validation, loan management, customer management, generation and printing of bills,</w:t>
      </w:r>
      <w:r>
        <w:rPr>
          <w:rFonts w:ascii="Arial" w:hAnsi="Arial" w:cs="Arial"/>
        </w:rPr>
        <w:t xml:space="preserve"> payments, collections, delinquency management and processing, are supported by these state-of-the-art systems. We use Fair Isaac Model Builder, a world-class credit management system, to develop our analytics and segmentation-origination, behavior, paymen</w:t>
      </w:r>
      <w:r>
        <w:rPr>
          <w:rFonts w:ascii="Arial" w:hAnsi="Arial" w:cs="Arial"/>
        </w:rPr>
        <w:t xml:space="preserve">t projection, offering response probability and attrition models. We complement this with behavior score analysis by client segment. </w:t>
      </w:r>
    </w:p>
    <w:p w:rsidR="00000000" w:rsidRDefault="003E5AFF">
      <w:pPr>
        <w:pStyle w:val="NormalWeb"/>
        <w:spacing w:before="120" w:beforeAutospacing="0" w:after="0" w:afterAutospacing="0"/>
      </w:pPr>
      <w:r>
        <w:rPr>
          <w:rFonts w:ascii="Arial" w:hAnsi="Arial" w:cs="Arial"/>
          <w:i/>
          <w:iCs/>
        </w:rPr>
        <w:t>Allowance for loan losses</w:t>
      </w:r>
      <w:r>
        <w:rPr>
          <w:rFonts w:ascii="Arial" w:hAnsi="Arial" w:cs="Arial"/>
        </w:rPr>
        <w:t>.    We seek to use appropriate practices to identify risk in our accounts and determine potentia</w:t>
      </w:r>
      <w:r>
        <w:rPr>
          <w:rFonts w:ascii="Arial" w:hAnsi="Arial" w:cs="Arial"/>
        </w:rPr>
        <w:t xml:space="preserve">l future losses. Our provisions have two components: a _base provision_ and an _additional provision_ as described below: </w:t>
      </w:r>
    </w:p>
    <w:p w:rsidR="00000000" w:rsidRDefault="003E5AFF">
      <w:pPr>
        <w:pStyle w:val="NormalWeb"/>
        <w:spacing w:before="120" w:beforeAutospacing="0" w:after="0" w:afterAutospacing="0"/>
        <w:ind w:left="952"/>
      </w:pPr>
      <w:r>
        <w:rPr>
          <w:rFonts w:ascii="Arial" w:hAnsi="Arial" w:cs="Arial"/>
          <w:u w:val="single"/>
        </w:rPr>
        <w:t>Base provision</w:t>
      </w:r>
      <w:r>
        <w:rPr>
          <w:rFonts w:ascii="Arial" w:hAnsi="Arial" w:cs="Arial"/>
        </w:rPr>
        <w:t xml:space="preserve">.    The first provision is estimated by segmenting the portfolio in 252 client clusters based on the type </w:t>
      </w:r>
      <w:r>
        <w:rPr>
          <w:rFonts w:ascii="Arial" w:hAnsi="Arial" w:cs="Arial"/>
        </w:rPr>
        <w:t>of credit card owned, credit limit, history, current delays, renegotiation history and type of primary expenditures under the card (e.g., supermarkets, department stores or home improvement stores). This segmentation allows us to better identify risks by p</w:t>
      </w:r>
      <w:r>
        <w:rPr>
          <w:rFonts w:ascii="Arial" w:hAnsi="Arial" w:cs="Arial"/>
        </w:rPr>
        <w:t>erforming differential risk analysis. We use a write-off model that estimates the statistically relevant non-performance rates per client cluster and generates the expected write-off rates per client cluster. Write-off rates are calculated based on 12-mont</w:t>
      </w:r>
      <w:r>
        <w:rPr>
          <w:rFonts w:ascii="Arial" w:hAnsi="Arial" w:cs="Arial"/>
        </w:rPr>
        <w:t xml:space="preserve">h averages to soften seasonality effects. Although write-off rates are updated every six months, if there are external conditions that may affect our industry, such as significant changes in macroeconomic variables like economic growth, unemployment rates </w:t>
      </w:r>
      <w:r>
        <w:rPr>
          <w:rFonts w:ascii="Arial" w:hAnsi="Arial" w:cs="Arial"/>
        </w:rPr>
        <w:t xml:space="preserve">and inflation, among others, then write-off rates are updated quarterly.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- 199 - </w:t>
      </w:r>
    </w:p>
    <w:p w:rsidR="00000000" w:rsidRDefault="003E5AFF">
      <w:pPr>
        <w:rPr>
          <w:rFonts w:eastAsia="Times New Roman" w:cs="Times New Roman"/>
        </w:rPr>
      </w:pPr>
      <w:r>
        <w:rPr>
          <w:rFonts w:eastAsia="Times New Roman" w:cs="Times New Roman"/>
        </w:rPr>
        <w:pict>
          <v:rect id="_x0000_i1236" style="width:441.9pt;height:3pt" o:hralign="center" o:hrstd="t" o:hrnoshade="t" o:hr="t" fillcolor="#999" stroked="f"/>
        </w:pict>
      </w:r>
    </w:p>
    <w:p w:rsidR="00000000" w:rsidRDefault="003E5AFF">
      <w:pPr>
        <w:pStyle w:val="Heading5"/>
        <w:rPr>
          <w:rFonts w:eastAsia="Times New Roman" w:cs="Times New Roman"/>
        </w:rPr>
      </w:pPr>
      <w:hyperlink r:id="rId25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ind w:left="952"/>
      </w:pPr>
      <w:r>
        <w:rPr>
          <w:rFonts w:ascii="Arial" w:hAnsi="Arial" w:cs="Arial"/>
          <w:u w:val="single"/>
        </w:rPr>
        <w:t>Additional provisions</w:t>
      </w:r>
      <w:r>
        <w:rPr>
          <w:rFonts w:ascii="Arial" w:hAnsi="Arial" w:cs="Arial"/>
        </w:rPr>
        <w:t xml:space="preserve">.    For rehabilitated or renegotiated portfolios and </w:t>
      </w:r>
      <w:r>
        <w:rPr>
          <w:rFonts w:ascii="Arial" w:hAnsi="Arial" w:cs="Arial"/>
        </w:rPr>
        <w:t>for new products or markets for which there is no payment history to estimate future write-offs, a write-off rate is estimated at the time of sale based on _customer_s clones_ that forecast expected behavior until actual behavior and history can be include</w:t>
      </w:r>
      <w:r>
        <w:rPr>
          <w:rFonts w:ascii="Arial" w:hAnsi="Arial" w:cs="Arial"/>
        </w:rPr>
        <w:t xml:space="preserve">d in our write-off model. </w:t>
      </w:r>
    </w:p>
    <w:p w:rsidR="00000000" w:rsidRDefault="003E5AFF">
      <w:pPr>
        <w:pStyle w:val="NormalWeb"/>
        <w:spacing w:before="120" w:beforeAutospacing="0" w:after="0" w:afterAutospacing="0"/>
      </w:pPr>
      <w:r>
        <w:rPr>
          <w:rFonts w:ascii="Arial" w:hAnsi="Arial" w:cs="Arial"/>
        </w:rPr>
        <w:t>Once the customer exceeds 180 days of delay, the total debt as of the date is written-off and recoveries are registered only on the basis of effective payments. The accuracy, coverage and sufficiency of the provisions are monitor</w:t>
      </w:r>
      <w:r>
        <w:rPr>
          <w:rFonts w:ascii="Arial" w:hAnsi="Arial" w:cs="Arial"/>
        </w:rPr>
        <w:t>ed periodically through statistical back testing and these results are reviewed by our risk committee. We believe our allowance for loan and credit losses as of the date hereof is adequate to cover all known or knowable losses in our portfolio of accounts.</w:t>
      </w:r>
      <w:r>
        <w:rPr>
          <w:rFonts w:ascii="Arial" w:hAnsi="Arial" w:cs="Arial"/>
        </w:rPr>
        <w:t xml:space="preserve"> </w:t>
      </w:r>
    </w:p>
    <w:p w:rsidR="00000000" w:rsidRDefault="003E5AFF">
      <w:pPr>
        <w:pStyle w:val="NormalWeb"/>
        <w:spacing w:before="240" w:beforeAutospacing="0" w:after="0" w:afterAutospacing="0"/>
      </w:pP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i/>
          <w:iCs/>
        </w:rPr>
        <w:t xml:space="preserve">Credit cards </w:t>
      </w:r>
    </w:p>
    <w:p w:rsidR="00000000" w:rsidRDefault="003E5AFF">
      <w:pPr>
        <w:pStyle w:val="NormalWeb"/>
        <w:spacing w:before="120" w:beforeAutospacing="0" w:after="0" w:afterAutospacing="0"/>
      </w:pPr>
      <w:r>
        <w:rPr>
          <w:rFonts w:ascii="Arial" w:hAnsi="Arial" w:cs="Arial"/>
        </w:rPr>
        <w:t>We are engaged in the credit card business in Chile through the issuance of our M_s Jumbo, M_s Easy, M_s Paris credit cards, which have a strong presence in our stores and can be used in more than 290 affiliated businesses. As of Mar</w:t>
      </w:r>
      <w:r>
        <w:rPr>
          <w:rFonts w:ascii="Arial" w:hAnsi="Arial" w:cs="Arial"/>
        </w:rPr>
        <w:t>ch 31, 2012, we had approximately 2.1 million active credit card accounts in Chile. Through our _M_s_ card, we have increased the purchasing power of our middle- and low-income clients, who generally do not have credit offers with other institutions, and a</w:t>
      </w:r>
      <w:r>
        <w:rPr>
          <w:rFonts w:ascii="Arial" w:hAnsi="Arial" w:cs="Arial"/>
        </w:rPr>
        <w:t xml:space="preserve">re generally unable to bear the fixed costs charged by other credit cards. </w:t>
      </w:r>
    </w:p>
    <w:p w:rsidR="00000000" w:rsidRDefault="003E5AFF">
      <w:pPr>
        <w:pStyle w:val="NormalWeb"/>
        <w:spacing w:before="120" w:beforeAutospacing="0" w:after="0" w:afterAutospacing="0"/>
      </w:pPr>
      <w:r>
        <w:rPr>
          <w:rFonts w:ascii="Arial" w:hAnsi="Arial" w:cs="Arial"/>
        </w:rPr>
        <w:t>In addition to increasing sales and traffic in our stores, we also seek to achieve a financial return by facilitating access to credit for an underserved segment of the population.</w:t>
      </w:r>
      <w:r>
        <w:rPr>
          <w:rFonts w:ascii="Arial" w:hAnsi="Arial" w:cs="Arial"/>
        </w:rPr>
        <w:t xml:space="preserve"> We target all customers of our stores as well as customers in affiliated businesses. Many of our credit card customers also have access to cash advances they can access from tellers at Jumbo, Santa Isabel, Paris, Easy and Turbus stores or from the ATM net</w:t>
      </w:r>
      <w:r>
        <w:rPr>
          <w:rFonts w:ascii="Arial" w:hAnsi="Arial" w:cs="Arial"/>
        </w:rPr>
        <w:t xml:space="preserve">work of Banco Santander, allowing them to make cash withdrawals in many points of Chile. </w:t>
      </w:r>
    </w:p>
    <w:p w:rsidR="00000000" w:rsidRDefault="003E5AFF">
      <w:pPr>
        <w:pStyle w:val="NormalWeb"/>
        <w:spacing w:before="120" w:beforeAutospacing="0" w:after="0" w:afterAutospacing="0"/>
      </w:pPr>
      <w:r>
        <w:rPr>
          <w:rFonts w:ascii="Arial" w:hAnsi="Arial" w:cs="Arial"/>
        </w:rPr>
        <w:t xml:space="preserve">Our M_s credit cards offer a single credit card with features including monthly payments of minimum charge, revolving credit and installment loans. In addition, when </w:t>
      </w:r>
      <w:r>
        <w:rPr>
          <w:rFonts w:ascii="Arial" w:hAnsi="Arial" w:cs="Arial"/>
        </w:rPr>
        <w:t>using our M_s credit cards, customers also receive added benefits such as access to discounts and special offers and accumulation of points, which are usable in our loyalty program and can later be used to make purchases in our stores. Cardholders are char</w:t>
      </w:r>
      <w:r>
        <w:rPr>
          <w:rFonts w:ascii="Arial" w:hAnsi="Arial" w:cs="Arial"/>
        </w:rPr>
        <w:t xml:space="preserve">ged with administration fees, and interest charges are based on individual extensions of credit. The average interest rate charged to cardholders as of December 31, 2011, 2010 and 2009 was 2.88%, 3.27% and 2.46%, respectively. We adjust the interest rates </w:t>
      </w:r>
      <w:r>
        <w:rPr>
          <w:rFonts w:ascii="Arial" w:hAnsi="Arial" w:cs="Arial"/>
        </w:rPr>
        <w:t xml:space="preserve">on our credit cards regularly in response to costs of funding and standard rates in the industry. The revolving interest rates charged to cardholders are floating. </w:t>
      </w:r>
    </w:p>
    <w:p w:rsidR="00000000" w:rsidRDefault="003E5AFF">
      <w:pPr>
        <w:pStyle w:val="NormalWeb"/>
        <w:spacing w:before="120" w:beforeAutospacing="0" w:after="0" w:afterAutospacing="0"/>
      </w:pPr>
      <w:r>
        <w:rPr>
          <w:rFonts w:ascii="Arial" w:hAnsi="Arial" w:cs="Arial"/>
        </w:rPr>
        <w:t>The following table sets forth the credit cards sales by Jumbo, Santa Isabel, Easy and Pari</w:t>
      </w:r>
      <w:r>
        <w:rPr>
          <w:rFonts w:ascii="Arial" w:hAnsi="Arial" w:cs="Arial"/>
        </w:rPr>
        <w:t xml:space="preserve">s in Chile and the percentage that such sales represent of each store_s total sales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198"/>
        <w:gridCol w:w="75"/>
        <w:gridCol w:w="56"/>
        <w:gridCol w:w="723"/>
        <w:gridCol w:w="112"/>
        <w:gridCol w:w="75"/>
        <w:gridCol w:w="56"/>
        <w:gridCol w:w="568"/>
        <w:gridCol w:w="112"/>
        <w:gridCol w:w="75"/>
        <w:gridCol w:w="56"/>
        <w:gridCol w:w="723"/>
        <w:gridCol w:w="112"/>
        <w:gridCol w:w="75"/>
        <w:gridCol w:w="56"/>
        <w:gridCol w:w="568"/>
        <w:gridCol w:w="112"/>
        <w:gridCol w:w="75"/>
        <w:gridCol w:w="56"/>
        <w:gridCol w:w="723"/>
        <w:gridCol w:w="112"/>
        <w:gridCol w:w="75"/>
        <w:gridCol w:w="56"/>
        <w:gridCol w:w="568"/>
        <w:gridCol w:w="112"/>
        <w:gridCol w:w="75"/>
        <w:gridCol w:w="56"/>
        <w:gridCol w:w="723"/>
        <w:gridCol w:w="112"/>
        <w:gridCol w:w="75"/>
        <w:gridCol w:w="56"/>
        <w:gridCol w:w="568"/>
        <w:gridCol w:w="112"/>
      </w:tblGrid>
      <w:tr w:rsidR="00000000">
        <w:trPr>
          <w:jc w:val="center"/>
        </w:trPr>
        <w:tc>
          <w:tcPr>
            <w:tcW w:w="220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w:t>
            </w:r>
            <w:r>
              <w:rPr>
                <w:rFonts w:eastAsia="Times New Roman" w:cs="Times New Roman"/>
              </w:rPr>
              <w:br/>
            </w:r>
            <w:r>
              <w:rPr>
                <w:rFonts w:ascii="Arial" w:eastAsia="Times New Roman" w:hAnsi="Arial" w:cs="Arial"/>
                <w:b/>
                <w:bCs/>
              </w:rPr>
              <w:t>ended March</w:t>
            </w:r>
            <w:r>
              <w:rPr>
                <w:rFonts w:ascii="Arial" w:eastAsia="Times New Roman" w:hAnsi="Arial" w:cs="Arial"/>
                <w:b/>
                <w:bCs/>
              </w:rPr>
              <w:br/>
              <w:t>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30"/>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Jumbo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57,391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248,094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228,701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192,281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Santa Isabel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18,182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78,491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76,358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72,827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Easy</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23,376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91,231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85,416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65,077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Paris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86,303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425,599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391,022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322,939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Total(2)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185,251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843,415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781,497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653,123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- 200 - </w:t>
      </w:r>
    </w:p>
    <w:p w:rsidR="00000000" w:rsidRDefault="003E5AFF">
      <w:pPr>
        <w:rPr>
          <w:rFonts w:eastAsia="Times New Roman" w:cs="Times New Roman"/>
        </w:rPr>
      </w:pPr>
      <w:r>
        <w:rPr>
          <w:rFonts w:eastAsia="Times New Roman" w:cs="Times New Roman"/>
        </w:rPr>
        <w:pict>
          <v:rect id="_x0000_i1237" style="width:441.9pt;height:3pt" o:hralign="center" o:hrstd="t" o:hrnoshade="t" o:hr="t" fillcolor="#999" stroked="f"/>
        </w:pict>
      </w:r>
    </w:p>
    <w:p w:rsidR="00000000" w:rsidRDefault="003E5AFF">
      <w:pPr>
        <w:pStyle w:val="Heading5"/>
        <w:rPr>
          <w:rFonts w:eastAsia="Times New Roman" w:cs="Times New Roman"/>
        </w:rPr>
      </w:pPr>
      <w:hyperlink r:id="rId254" w:anchor="toc" w:history="1">
        <w:r>
          <w:rPr>
            <w:rStyle w:val="Hyperlink"/>
            <w:rFonts w:eastAsia="Times New Roman" w:cs="Times New Roman"/>
          </w:rPr>
          <w:t xml:space="preserve">Table of </w:t>
        </w:r>
        <w:r>
          <w:rPr>
            <w:rStyle w:val="Hyperlink"/>
            <w:rFonts w:eastAsia="Times New Roman" w:cs="Times New Roman"/>
          </w:rPr>
          <w:t>Contents</w:t>
        </w:r>
      </w:hyperlink>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value added taxes. </w:t>
            </w:r>
          </w:p>
        </w:tc>
      </w:tr>
    </w:tbl>
    <w:p w:rsidR="00000000" w:rsidRDefault="003E5AFF">
      <w:pPr>
        <w:pStyle w:val="NormalWeb"/>
        <w:spacing w:before="120" w:beforeAutospacing="0" w:after="0" w:afterAutospacing="0"/>
      </w:pPr>
      <w:r>
        <w:rPr>
          <w:rFonts w:ascii="Arial" w:hAnsi="Arial" w:cs="Arial"/>
        </w:rPr>
        <w:t xml:space="preserve">The table below sets forth information with respect to our credit card receivables in Chile: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033"/>
        <w:gridCol w:w="217"/>
        <w:gridCol w:w="117"/>
        <w:gridCol w:w="1506"/>
        <w:gridCol w:w="112"/>
        <w:gridCol w:w="216"/>
        <w:gridCol w:w="56"/>
        <w:gridCol w:w="723"/>
        <w:gridCol w:w="112"/>
        <w:gridCol w:w="216"/>
        <w:gridCol w:w="56"/>
        <w:gridCol w:w="723"/>
        <w:gridCol w:w="112"/>
        <w:gridCol w:w="216"/>
        <w:gridCol w:w="56"/>
        <w:gridCol w:w="723"/>
        <w:gridCol w:w="112"/>
      </w:tblGrid>
      <w:tr w:rsidR="00000000">
        <w:trPr>
          <w:jc w:val="center"/>
        </w:trPr>
        <w:tc>
          <w:tcPr>
            <w:tcW w:w="280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w:t>
            </w:r>
            <w:r>
              <w:rPr>
                <w:rFonts w:ascii="Arial" w:eastAsia="Times New Roman" w:hAnsi="Arial" w:cs="Arial"/>
                <w:b/>
                <w:bCs/>
              </w:rPr>
              <w:t>months</w:t>
            </w:r>
            <w:r>
              <w:rPr>
                <w:rFonts w:eastAsia="Times New Roman" w:cs="Times New Roman"/>
              </w:rPr>
              <w:br/>
            </w:r>
            <w:r>
              <w:rPr>
                <w:rFonts w:ascii="Arial" w:eastAsia="Times New Roman" w:hAnsi="Arial" w:cs="Arial"/>
                <w:b/>
                <w:bCs/>
              </w:rPr>
              <w:t>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Portfolio Status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Performing(2)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363,987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394,817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370,324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326,163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Past due: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31-89 days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26,732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25,749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35,575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90-180 days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22,695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25,247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19,313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28,755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181-365 days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b/>
                <w:bCs/>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418,316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446,795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415,386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390,493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Over 365 days and legal proceedings(3)</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Loan loss allowance as % of past due loans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Loan loss allowance as % of all loans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Performing loans not past due more than 30 days.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Entire portfolio written off. These claims are subject to a 100% allowance. </w:t>
            </w:r>
          </w:p>
        </w:tc>
      </w:tr>
    </w:tbl>
    <w:p w:rsidR="00000000" w:rsidRDefault="003E5AFF">
      <w:pPr>
        <w:pStyle w:val="NormalWeb"/>
        <w:spacing w:before="120" w:beforeAutospacing="0" w:after="0" w:afterAutospacing="0"/>
      </w:pPr>
      <w:r>
        <w:rPr>
          <w:rFonts w:ascii="Arial" w:hAnsi="Arial" w:cs="Arial"/>
        </w:rPr>
        <w:t xml:space="preserve">The following table sets forth certain information regarding our non-performing loans and write-offs,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434"/>
        <w:gridCol w:w="112"/>
        <w:gridCol w:w="96"/>
        <w:gridCol w:w="113"/>
        <w:gridCol w:w="111"/>
        <w:gridCol w:w="1212"/>
        <w:gridCol w:w="113"/>
        <w:gridCol w:w="113"/>
        <w:gridCol w:w="96"/>
        <w:gridCol w:w="113"/>
        <w:gridCol w:w="56"/>
        <w:gridCol w:w="612"/>
        <w:gridCol w:w="113"/>
        <w:gridCol w:w="169"/>
        <w:gridCol w:w="56"/>
        <w:gridCol w:w="612"/>
        <w:gridCol w:w="169"/>
        <w:gridCol w:w="226"/>
        <w:gridCol w:w="56"/>
        <w:gridCol w:w="612"/>
        <w:gridCol w:w="112"/>
      </w:tblGrid>
      <w:tr w:rsidR="00000000">
        <w:trPr>
          <w:jc w:val="center"/>
        </w:trPr>
        <w:tc>
          <w:tcPr>
            <w:tcW w:w="30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w:t>
            </w:r>
            <w:r>
              <w:rPr>
                <w:rFonts w:ascii="Arial" w:eastAsia="Times New Roman" w:hAnsi="Arial" w:cs="Arial"/>
                <w:b/>
                <w:bCs/>
              </w:rPr>
              <w:br/>
              <w:t>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Non-performing loans as % of total loans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write-offs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18,272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56,329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62,016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89,549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monthly write-offs as % of total loans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240" w:beforeAutospacing="0" w:after="0" w:afterAutospacing="0"/>
      </w:pPr>
      <w:r>
        <w:rPr>
          <w:rFonts w:ascii="Arial" w:hAnsi="Arial" w:cs="Arial"/>
          <w:i/>
          <w:iCs/>
        </w:rPr>
        <w:t xml:space="preserve">Insurance brokerage </w:t>
      </w:r>
    </w:p>
    <w:p w:rsidR="00000000" w:rsidRDefault="003E5AFF">
      <w:pPr>
        <w:pStyle w:val="NormalWeb"/>
        <w:spacing w:before="120" w:beforeAutospacing="0" w:after="0" w:afterAutospacing="0"/>
      </w:pPr>
      <w:r>
        <w:rPr>
          <w:rFonts w:ascii="Arial" w:hAnsi="Arial" w:cs="Arial"/>
        </w:rPr>
        <w:t>We entered into the insurance business to complement our credit card offerings, offering extended warranties for certain of the electronic products sold at our stores. We also offer other attractive insurance plans to our existing retail customers. Our ins</w:t>
      </w:r>
      <w:r>
        <w:rPr>
          <w:rFonts w:ascii="Arial" w:hAnsi="Arial" w:cs="Arial"/>
        </w:rPr>
        <w:t>urance activities focus on the sale of life, medical, unemployment, home and car insurance, in simple formats and at accessible rates focusing on underserved socio-economic segments. Our insurance products are sold through our distribution channels and are</w:t>
      </w:r>
      <w:r>
        <w:rPr>
          <w:rFonts w:ascii="Arial" w:hAnsi="Arial" w:cs="Arial"/>
        </w:rPr>
        <w:t xml:space="preserve"> supported by telemarketing and personalized marketing to customers in Paris and Jumbo stores. During the years ended December 30, 2011, 2010 and 2009, our insurance activities in Chile generated revenues from ordinary activities of Ch$26,553 million Ch$24</w:t>
      </w:r>
      <w:r>
        <w:rPr>
          <w:rFonts w:ascii="Arial" w:hAnsi="Arial" w:cs="Arial"/>
        </w:rPr>
        <w:t xml:space="preserve">,126 million and Ch$23,456 million, respectively, representing less than 1.0% of our consolidated revenues from ordinary activities for such periods. These figures do not include extended warranty proceeds, which are booked in the retail division </w:t>
      </w:r>
    </w:p>
    <w:p w:rsidR="00000000" w:rsidRDefault="003E5AFF">
      <w:pPr>
        <w:pStyle w:val="NormalWeb"/>
        <w:spacing w:before="240" w:beforeAutospacing="0" w:after="0" w:afterAutospacing="0"/>
      </w:pPr>
      <w:r>
        <w:rPr>
          <w:rFonts w:ascii="Arial" w:hAnsi="Arial" w:cs="Arial"/>
          <w:b/>
          <w:bCs/>
          <w:i/>
          <w:iCs/>
        </w:rPr>
        <w:t xml:space="preserve">Argentina </w:t>
      </w:r>
    </w:p>
    <w:p w:rsidR="00000000" w:rsidRDefault="003E5AFF">
      <w:pPr>
        <w:pStyle w:val="NormalWeb"/>
        <w:spacing w:before="120" w:beforeAutospacing="0" w:after="0" w:afterAutospacing="0"/>
      </w:pPr>
      <w:r>
        <w:rPr>
          <w:rFonts w:ascii="Arial" w:hAnsi="Arial" w:cs="Arial"/>
          <w:i/>
          <w:iCs/>
        </w:rPr>
        <w:t xml:space="preserve">Credit cards </w:t>
      </w:r>
    </w:p>
    <w:p w:rsidR="00000000" w:rsidRDefault="003E5AFF">
      <w:pPr>
        <w:pStyle w:val="NormalWeb"/>
        <w:spacing w:before="120" w:beforeAutospacing="0" w:after="0" w:afterAutospacing="0"/>
      </w:pPr>
      <w:r>
        <w:rPr>
          <w:rFonts w:ascii="Arial" w:hAnsi="Arial" w:cs="Arial"/>
        </w:rPr>
        <w:t xml:space="preserve">In Argentina we operate a credit card business for each of our retail brands. The Argentine market for financial services is served by domestic and foreign private banks, public sector banks,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- 201 - </w:t>
      </w:r>
    </w:p>
    <w:p w:rsidR="00000000" w:rsidRDefault="003E5AFF">
      <w:pPr>
        <w:rPr>
          <w:rFonts w:eastAsia="Times New Roman" w:cs="Times New Roman"/>
        </w:rPr>
      </w:pPr>
      <w:r>
        <w:rPr>
          <w:rFonts w:eastAsia="Times New Roman" w:cs="Times New Roman"/>
        </w:rPr>
        <w:pict>
          <v:rect id="_x0000_i1238" style="width:441.9pt;height:3pt" o:hralign="center" o:hrstd="t" o:hrnoshade="t" o:hr="t" fillcolor="#999" stroked="f"/>
        </w:pict>
      </w:r>
    </w:p>
    <w:p w:rsidR="00000000" w:rsidRDefault="003E5AFF">
      <w:pPr>
        <w:pStyle w:val="Heading5"/>
        <w:rPr>
          <w:rFonts w:eastAsia="Times New Roman" w:cs="Times New Roman"/>
        </w:rPr>
      </w:pPr>
      <w:hyperlink r:id="rId25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credit card operators and retailers. In April 2007, we entered the financial services and insurance markets in Argentina through the launch of our _Tarjeta M_s._ As of March 31, 2012, we had issued 913,000 Tarjeta M_s credit cards. As of December 31, 2011,</w:t>
      </w:r>
      <w:r>
        <w:rPr>
          <w:rFonts w:ascii="Arial" w:hAnsi="Arial" w:cs="Arial"/>
        </w:rPr>
        <w:t xml:space="preserve"> sales from our proprietary cards represented 9.9% of net sales, compared to 11.7% as of the same period in 2010. As of March 31, 2012, sales from our proprietary cards represented 9.8% of net sales, compared to 8.9% for the same period in 2011. Through ou</w:t>
      </w:r>
      <w:r>
        <w:rPr>
          <w:rFonts w:ascii="Arial" w:hAnsi="Arial" w:cs="Arial"/>
        </w:rPr>
        <w:t xml:space="preserve">r _M_s_ card, we have increased the purchasing power of our middle and low-income clients, who generally do not have credit with other institutions, and are generally unable to bear the fixed costs charged by other credit cards. </w:t>
      </w:r>
    </w:p>
    <w:p w:rsidR="00000000" w:rsidRDefault="003E5AFF">
      <w:pPr>
        <w:pStyle w:val="NormalWeb"/>
        <w:spacing w:before="120" w:beforeAutospacing="0" w:after="0" w:afterAutospacing="0"/>
      </w:pPr>
      <w:r>
        <w:rPr>
          <w:rFonts w:ascii="Arial" w:hAnsi="Arial" w:cs="Arial"/>
        </w:rPr>
        <w:t>The following table sets f</w:t>
      </w:r>
      <w:r>
        <w:rPr>
          <w:rFonts w:ascii="Arial" w:hAnsi="Arial" w:cs="Arial"/>
        </w:rPr>
        <w:t xml:space="preserve">orth the credit cards sales by Jumbo, Disco and Vea, and Easy in Argentina and the percentage that such sales represent of each store_s total sales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210"/>
        <w:gridCol w:w="38"/>
        <w:gridCol w:w="96"/>
        <w:gridCol w:w="46"/>
        <w:gridCol w:w="56"/>
        <w:gridCol w:w="612"/>
        <w:gridCol w:w="112"/>
        <w:gridCol w:w="75"/>
        <w:gridCol w:w="56"/>
        <w:gridCol w:w="568"/>
        <w:gridCol w:w="112"/>
        <w:gridCol w:w="38"/>
        <w:gridCol w:w="96"/>
        <w:gridCol w:w="46"/>
        <w:gridCol w:w="56"/>
        <w:gridCol w:w="723"/>
        <w:gridCol w:w="112"/>
        <w:gridCol w:w="75"/>
        <w:gridCol w:w="56"/>
        <w:gridCol w:w="568"/>
        <w:gridCol w:w="112"/>
        <w:gridCol w:w="75"/>
        <w:gridCol w:w="56"/>
        <w:gridCol w:w="723"/>
        <w:gridCol w:w="112"/>
        <w:gridCol w:w="75"/>
        <w:gridCol w:w="56"/>
        <w:gridCol w:w="568"/>
        <w:gridCol w:w="112"/>
        <w:gridCol w:w="75"/>
        <w:gridCol w:w="56"/>
        <w:gridCol w:w="612"/>
        <w:gridCol w:w="112"/>
        <w:gridCol w:w="75"/>
        <w:gridCol w:w="56"/>
        <w:gridCol w:w="568"/>
        <w:gridCol w:w="112"/>
      </w:tblGrid>
      <w:tr w:rsidR="00000000">
        <w:trPr>
          <w:jc w:val="center"/>
        </w:trPr>
        <w:tc>
          <w:tcPr>
            <w:tcW w:w="195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w:t>
            </w:r>
            <w:r>
              <w:rPr>
                <w:rFonts w:ascii="Arial" w:eastAsia="Times New Roman" w:hAnsi="Arial" w:cs="Arial"/>
                <w:b/>
                <w:bCs/>
              </w:rPr>
              <w:br/>
              <w:t>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Jumbo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24,464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98,863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20.3%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67,805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39,866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Disco and Vea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17,133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59,369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35,786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26,264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Easy</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110,030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60,608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27,229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Total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68,651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268,262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164,198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93,359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120" w:beforeAutospacing="0" w:after="0" w:afterAutospacing="0"/>
      </w:pPr>
      <w:r>
        <w:rPr>
          <w:rFonts w:ascii="Arial" w:hAnsi="Arial" w:cs="Arial"/>
        </w:rPr>
        <w:t xml:space="preserve">The following table sets forth certain </w:t>
      </w:r>
      <w:r>
        <w:rPr>
          <w:rFonts w:ascii="Arial" w:hAnsi="Arial" w:cs="Arial"/>
        </w:rPr>
        <w:t xml:space="preserve">information regarding our non-performing loans and write-offs in Argentina,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532"/>
        <w:gridCol w:w="107"/>
        <w:gridCol w:w="96"/>
        <w:gridCol w:w="107"/>
        <w:gridCol w:w="559"/>
        <w:gridCol w:w="764"/>
        <w:gridCol w:w="112"/>
        <w:gridCol w:w="108"/>
        <w:gridCol w:w="96"/>
        <w:gridCol w:w="108"/>
        <w:gridCol w:w="367"/>
        <w:gridCol w:w="501"/>
        <w:gridCol w:w="112"/>
        <w:gridCol w:w="163"/>
        <w:gridCol w:w="56"/>
        <w:gridCol w:w="456"/>
        <w:gridCol w:w="163"/>
        <w:gridCol w:w="163"/>
        <w:gridCol w:w="56"/>
        <w:gridCol w:w="568"/>
        <w:gridCol w:w="112"/>
      </w:tblGrid>
      <w:tr w:rsidR="00000000">
        <w:trPr>
          <w:jc w:val="center"/>
        </w:trPr>
        <w:tc>
          <w:tcPr>
            <w:tcW w:w="32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w:t>
            </w:r>
            <w:r>
              <w:rPr>
                <w:rFonts w:ascii="Arial" w:eastAsia="Times New Roman" w:hAnsi="Arial" w:cs="Arial"/>
                <w:b/>
                <w:bCs/>
              </w:rPr>
              <w:br/>
              <w:t>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Non-performing loans as % of total loans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Total write-offs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1,751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1,928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Average monthly write-offs as % of total loans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120" w:beforeAutospacing="0" w:after="0" w:afterAutospacing="0"/>
      </w:pPr>
      <w:r>
        <w:rPr>
          <w:rFonts w:ascii="Arial" w:hAnsi="Arial" w:cs="Arial"/>
        </w:rPr>
        <w:t xml:space="preserve">The table below sets forth information with respect to our credit card receivables in Argentina: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717"/>
        <w:gridCol w:w="45"/>
        <w:gridCol w:w="96"/>
        <w:gridCol w:w="46"/>
        <w:gridCol w:w="95"/>
        <w:gridCol w:w="1228"/>
        <w:gridCol w:w="112"/>
        <w:gridCol w:w="44"/>
        <w:gridCol w:w="96"/>
        <w:gridCol w:w="46"/>
        <w:gridCol w:w="56"/>
        <w:gridCol w:w="723"/>
        <w:gridCol w:w="112"/>
        <w:gridCol w:w="102"/>
        <w:gridCol w:w="56"/>
        <w:gridCol w:w="679"/>
        <w:gridCol w:w="112"/>
        <w:gridCol w:w="94"/>
        <w:gridCol w:w="56"/>
        <w:gridCol w:w="679"/>
        <w:gridCol w:w="112"/>
      </w:tblGrid>
      <w:tr w:rsidR="00000000">
        <w:trPr>
          <w:jc w:val="center"/>
        </w:trPr>
        <w:tc>
          <w:tcPr>
            <w:tcW w:w="3200" w:type="pct"/>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5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w:t>
            </w:r>
            <w:r>
              <w:rPr>
                <w:rFonts w:ascii="Arial" w:eastAsia="Times New Roman" w:hAnsi="Arial" w:cs="Arial"/>
                <w:b/>
                <w:bCs/>
              </w:rPr>
              <w:br/>
              <w:t>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tcBorders>
              <w:bottom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Portfolio Status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Performing(2)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108,466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115,998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77,898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30,038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Past due: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31-89 days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4,234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4,571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90-180 days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1,388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181-365 days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1,686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b/>
                <w:bCs/>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116,049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125,781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82,763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34,032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Over 365 days and legal proceedings(3)</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275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2,104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Loan loss allowance as % of past due loans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124.3%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244.7%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Loan loss allowance as % of all loans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right w:val="single" w:sz="6"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rPr>
                <w:rFonts w:eastAsia="Times New Roman" w:cs="Times New Roman"/>
                <w:sz w:val="2"/>
                <w:szCs w:val="2"/>
              </w:rPr>
            </w:pPr>
            <w:r>
              <w:rPr>
                <w:rFonts w:eastAsia="Times New Roman" w:cs="Times New Roman"/>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bottom"/>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- 202 - </w:t>
      </w:r>
    </w:p>
    <w:p w:rsidR="00000000" w:rsidRDefault="003E5AFF">
      <w:pPr>
        <w:rPr>
          <w:rFonts w:eastAsia="Times New Roman" w:cs="Times New Roman"/>
        </w:rPr>
      </w:pPr>
      <w:r>
        <w:rPr>
          <w:rFonts w:eastAsia="Times New Roman" w:cs="Times New Roman"/>
        </w:rPr>
        <w:pict>
          <v:rect id="_x0000_i1239" style="width:441.9pt;height:3pt" o:hralign="center" o:hrstd="t" o:hrnoshade="t" o:hr="t" fillcolor="#999" stroked="f"/>
        </w:pict>
      </w:r>
    </w:p>
    <w:p w:rsidR="00000000" w:rsidRDefault="003E5AFF">
      <w:pPr>
        <w:pStyle w:val="Heading5"/>
        <w:rPr>
          <w:rFonts w:eastAsia="Times New Roman" w:cs="Times New Roman"/>
        </w:rPr>
      </w:pPr>
      <w:hyperlink r:id="rId256"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Performing loans not past due more than 30 days.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Entire portfolio written off. These claims are subject to a 100% allowance. </w:t>
            </w:r>
          </w:p>
        </w:tc>
      </w:tr>
    </w:tbl>
    <w:p w:rsidR="00000000" w:rsidRDefault="003E5AFF">
      <w:pPr>
        <w:pStyle w:val="NormalWeb"/>
        <w:spacing w:before="120" w:beforeAutospacing="0" w:after="0" w:afterAutospacing="0"/>
      </w:pPr>
      <w:r>
        <w:rPr>
          <w:rFonts w:ascii="Arial" w:hAnsi="Arial" w:cs="Arial"/>
          <w:i/>
          <w:iCs/>
        </w:rPr>
        <w:t xml:space="preserve">Insurance brokerage </w:t>
      </w:r>
    </w:p>
    <w:p w:rsidR="00000000" w:rsidRDefault="003E5AFF">
      <w:pPr>
        <w:pStyle w:val="NormalWeb"/>
        <w:spacing w:before="120" w:beforeAutospacing="0" w:after="0" w:afterAutospacing="0"/>
      </w:pPr>
      <w:r>
        <w:rPr>
          <w:rFonts w:ascii="Arial" w:hAnsi="Arial" w:cs="Arial"/>
        </w:rPr>
        <w:t xml:space="preserve">We entered into the insurance business to complement our credit card offerings, offer </w:t>
      </w:r>
      <w:r>
        <w:rPr>
          <w:rFonts w:ascii="Arial" w:hAnsi="Arial" w:cs="Arial"/>
        </w:rPr>
        <w:t>extended warranties for certain of the electronic products sold at our stores and to offer other attractive insurance plans to our existing retail customers. In Argentina we offer insurance brokerage in the following areas: personal coverage, life insuranc</w:t>
      </w:r>
      <w:r>
        <w:rPr>
          <w:rFonts w:ascii="Arial" w:hAnsi="Arial" w:cs="Arial"/>
        </w:rPr>
        <w:t>e, homeowners and renters insurance, auto insurance, fraud insurance, health insurance, unemployment insurance, extended warranty coverage, pet insurance and others. The products are sold in our own retail chains and are also available via telemarketing th</w:t>
      </w:r>
      <w:r>
        <w:rPr>
          <w:rFonts w:ascii="Arial" w:hAnsi="Arial" w:cs="Arial"/>
        </w:rPr>
        <w:t>rough our call center. The insurance business has experienced substantial growth in recent years, and we believe it will continue to grow as new products are introduced and use of insurance in Argentina becomes more widespread. At December 31, 2011, our in</w:t>
      </w:r>
      <w:r>
        <w:rPr>
          <w:rFonts w:ascii="Arial" w:hAnsi="Arial" w:cs="Arial"/>
        </w:rPr>
        <w:t xml:space="preserve">surance brokerage operations in Argentina accounted for less than 1.0% of our consolidated revenues from ordinary activities. </w:t>
      </w:r>
    </w:p>
    <w:p w:rsidR="00000000" w:rsidRDefault="003E5AFF">
      <w:pPr>
        <w:pStyle w:val="NormalWeb"/>
        <w:spacing w:before="240" w:beforeAutospacing="0" w:after="0" w:afterAutospacing="0"/>
      </w:pPr>
      <w:r>
        <w:rPr>
          <w:rFonts w:ascii="Arial" w:hAnsi="Arial" w:cs="Arial"/>
          <w:b/>
          <w:bCs/>
          <w:i/>
          <w:iCs/>
        </w:rPr>
        <w:t xml:space="preserve">Brazil </w:t>
      </w:r>
    </w:p>
    <w:p w:rsidR="00000000" w:rsidRDefault="003E5AFF">
      <w:pPr>
        <w:pStyle w:val="NormalWeb"/>
        <w:spacing w:before="120" w:beforeAutospacing="0" w:after="0" w:afterAutospacing="0"/>
      </w:pPr>
      <w:r>
        <w:rPr>
          <w:rFonts w:ascii="Arial" w:hAnsi="Arial" w:cs="Arial"/>
        </w:rPr>
        <w:t>In Brazil we operate our financial services through a joint venture with Brazil_s Banco Bradesco, under which they operat</w:t>
      </w:r>
      <w:r>
        <w:rPr>
          <w:rFonts w:ascii="Arial" w:hAnsi="Arial" w:cs="Arial"/>
        </w:rPr>
        <w:t>e our Credi-Hiper card, one of the largest private label credit cards in the northern region of Brazil. Recently, we also granted Banco Bradesco the exclusive right to issue and operate our Cencosud Card (</w:t>
      </w:r>
      <w:r>
        <w:rPr>
          <w:rFonts w:ascii="Arial" w:hAnsi="Arial" w:cs="Arial"/>
          <w:i/>
          <w:iCs/>
        </w:rPr>
        <w:t>Cart_o Cencosud</w:t>
      </w:r>
      <w:r>
        <w:rPr>
          <w:rFonts w:ascii="Arial" w:hAnsi="Arial" w:cs="Arial"/>
        </w:rPr>
        <w:t>), which will soon replace Credi-Hip</w:t>
      </w:r>
      <w:r>
        <w:rPr>
          <w:rFonts w:ascii="Arial" w:hAnsi="Arial" w:cs="Arial"/>
        </w:rPr>
        <w:t xml:space="preserve">er, as well as to offer, within our stores in Brazil, consumer loans, purchase financing and insurance products. </w:t>
      </w:r>
    </w:p>
    <w:p w:rsidR="00000000" w:rsidRDefault="003E5AFF">
      <w:pPr>
        <w:pStyle w:val="NormalWeb"/>
        <w:spacing w:before="120" w:beforeAutospacing="0" w:after="0" w:afterAutospacing="0"/>
      </w:pPr>
      <w:r>
        <w:rPr>
          <w:rFonts w:ascii="Arial" w:hAnsi="Arial" w:cs="Arial"/>
        </w:rPr>
        <w:t>Our relationship with Banco Bradesco began in May 2006, when GBarbosa entered into a five-year operating agreement with Banco Bradesco to join</w:t>
      </w:r>
      <w:r>
        <w:rPr>
          <w:rFonts w:ascii="Arial" w:hAnsi="Arial" w:cs="Arial"/>
        </w:rPr>
        <w:t xml:space="preserve">tly operate Credi-Hiper. Credi-Hiper was developed 29 years ago and is a key tool to maintaining the loyalty of GBarbosa_s clients, as well as to generating a significant portion of its revenues. In August 2011, GBarbosa amended and restated the agreement </w:t>
      </w:r>
      <w:r>
        <w:rPr>
          <w:rFonts w:ascii="Arial" w:hAnsi="Arial" w:cs="Arial"/>
        </w:rPr>
        <w:t xml:space="preserve">with Banco Bradesco and expanded its scope. </w:t>
      </w:r>
    </w:p>
    <w:p w:rsidR="00000000" w:rsidRDefault="003E5AFF">
      <w:pPr>
        <w:pStyle w:val="NormalWeb"/>
        <w:spacing w:before="120" w:beforeAutospacing="0" w:after="0" w:afterAutospacing="0"/>
      </w:pPr>
      <w:r>
        <w:rPr>
          <w:rFonts w:ascii="Arial" w:hAnsi="Arial" w:cs="Arial"/>
        </w:rPr>
        <w:t xml:space="preserve">Pursuant to the amended and restated agreement, Cencosud Brasil Comercial Ltda., which operates our GBarbosa stores in Brazil, Irm_os Bretas, Filhos e Cia. Ltda. (_Bretas_), Mercantil Rodrigues Comercial, Ltda. </w:t>
      </w:r>
      <w:r>
        <w:rPr>
          <w:rFonts w:ascii="Arial" w:hAnsi="Arial" w:cs="Arial"/>
        </w:rPr>
        <w:t xml:space="preserve">(_Mercantil Rodrigues_), Perini Comercial de Alimentos Ltda. (_Perini_) and Cencosud Brasil S.A. (_Cencosud Brasil_) entered into a joint venture agreement with Banco Bradesco pursuant to which Banco Bradesco agreed to offer financial services in Cencosud </w:t>
      </w:r>
      <w:r>
        <w:rPr>
          <w:rFonts w:ascii="Arial" w:hAnsi="Arial" w:cs="Arial"/>
        </w:rPr>
        <w:t>stores in Brazil. Banco Bradesco was also granted a right of first refusal, subject to certain limitations, if we decide to offer certain additional financial services in its stores in Brazil. Banco Bradesco also has the right to require Cencosud Brasil to</w:t>
      </w:r>
      <w:r>
        <w:rPr>
          <w:rFonts w:ascii="Arial" w:hAnsi="Arial" w:cs="Arial"/>
        </w:rPr>
        <w:t xml:space="preserve"> engage Banco Bradesco to manage all of its payroll processing and related services, as long as the price, terms and conditions of such payroll services are competitive, as assessed by us. Additionally, the parties agreed to enter into an agreement setting</w:t>
      </w:r>
      <w:r>
        <w:rPr>
          <w:rFonts w:ascii="Arial" w:hAnsi="Arial" w:cs="Arial"/>
        </w:rPr>
        <w:t xml:space="preserve"> forth terms and conditions for our stores to operate as Banco Bradesco representatives for processing payment of credit card bills. We also granted to Banco Bradesco a limited, non-assignable, trademark license, for the use of certain of our trademarks on</w:t>
      </w:r>
      <w:r>
        <w:rPr>
          <w:rFonts w:ascii="Arial" w:hAnsi="Arial" w:cs="Arial"/>
        </w:rPr>
        <w:t xml:space="preserve"> the Cencosud Card. </w:t>
      </w:r>
    </w:p>
    <w:p w:rsidR="00000000" w:rsidRDefault="003E5AFF">
      <w:pPr>
        <w:pStyle w:val="NormalWeb"/>
        <w:spacing w:before="120" w:beforeAutospacing="0" w:after="0" w:afterAutospacing="0"/>
      </w:pPr>
      <w:r>
        <w:rPr>
          <w:rFonts w:ascii="Arial" w:hAnsi="Arial" w:cs="Arial"/>
        </w:rPr>
        <w:t>As consideration for Banco Bradesco_s rights under this agreement, Banco Bradesco agreed to pay up to R$300,000,000, including an upfront payment of R$100,000,000 and two other R$100,000,000 payments that are subject to reaching certai</w:t>
      </w:r>
      <w:r>
        <w:rPr>
          <w:rFonts w:ascii="Arial" w:hAnsi="Arial" w:cs="Arial"/>
        </w:rPr>
        <w:t xml:space="preserve">n goals with respect to Cencosud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- 203 - </w:t>
      </w:r>
    </w:p>
    <w:p w:rsidR="00000000" w:rsidRDefault="003E5AFF">
      <w:pPr>
        <w:rPr>
          <w:rFonts w:eastAsia="Times New Roman" w:cs="Times New Roman"/>
        </w:rPr>
      </w:pPr>
      <w:r>
        <w:rPr>
          <w:rFonts w:eastAsia="Times New Roman" w:cs="Times New Roman"/>
        </w:rPr>
        <w:pict>
          <v:rect id="_x0000_i1240" style="width:441.9pt;height:3pt" o:hralign="center" o:hrstd="t" o:hrnoshade="t" o:hr="t" fillcolor="#999" stroked="f"/>
        </w:pict>
      </w:r>
    </w:p>
    <w:p w:rsidR="00000000" w:rsidRDefault="003E5AFF">
      <w:pPr>
        <w:pStyle w:val="Heading5"/>
        <w:rPr>
          <w:rFonts w:eastAsia="Times New Roman" w:cs="Times New Roman"/>
        </w:rPr>
      </w:pPr>
      <w:hyperlink r:id="rId25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credit card revenues. Additionally, with the exception of certain fees charged by Banco Bradesco from customers, the net revenue from the C</w:t>
      </w:r>
      <w:r>
        <w:rPr>
          <w:rFonts w:ascii="Arial" w:hAnsi="Arial" w:cs="Arial"/>
        </w:rPr>
        <w:t>encosud credit card operation and the provision of certain other financial services, is to be shared equally between Banco Bradesco and us, and we bear 50% of the credit risk associated with the credit cards operated pursuant to this agreement, including d</w:t>
      </w:r>
      <w:r>
        <w:rPr>
          <w:rFonts w:ascii="Arial" w:hAnsi="Arial" w:cs="Arial"/>
        </w:rPr>
        <w:t xml:space="preserve">efaults in payment and losses. The term of this agreement is 16 years from the execution date, but it can be terminated at any time subject to the payment of certain penalties. </w:t>
      </w:r>
    </w:p>
    <w:p w:rsidR="00000000" w:rsidRDefault="003E5AFF">
      <w:pPr>
        <w:pStyle w:val="NormalWeb"/>
        <w:spacing w:before="120" w:beforeAutospacing="0" w:after="0" w:afterAutospacing="0"/>
      </w:pPr>
      <w:r>
        <w:rPr>
          <w:rFonts w:ascii="Arial" w:hAnsi="Arial" w:cs="Arial"/>
        </w:rPr>
        <w:t>We believe our long-term partnership with Banco Bradesco facilitates the susta</w:t>
      </w:r>
      <w:r>
        <w:rPr>
          <w:rFonts w:ascii="Arial" w:hAnsi="Arial" w:cs="Arial"/>
        </w:rPr>
        <w:t>inable growth of our financial services segment in Brazil by providing a number of competitive financing alternatives and affordable financial services products to our clients. As of December 31, 2011, we had approximately 0.9 million active credit card ac</w:t>
      </w:r>
      <w:r>
        <w:rPr>
          <w:rFonts w:ascii="Arial" w:hAnsi="Arial" w:cs="Arial"/>
        </w:rPr>
        <w:t xml:space="preserve">counts in Brazil. </w:t>
      </w:r>
    </w:p>
    <w:p w:rsidR="00000000" w:rsidRDefault="003E5AFF">
      <w:pPr>
        <w:pStyle w:val="NormalWeb"/>
        <w:spacing w:before="120" w:beforeAutospacing="0" w:after="0" w:afterAutospacing="0"/>
      </w:pPr>
      <w:r>
        <w:rPr>
          <w:rFonts w:ascii="Arial" w:hAnsi="Arial" w:cs="Arial"/>
        </w:rPr>
        <w:t xml:space="preserve">In the year ended December 31, 2011, 13.4% of our gross revenues were derived from purchases made with our Credi-Hiper and </w:t>
      </w:r>
      <w:r>
        <w:rPr>
          <w:rFonts w:ascii="Arial" w:hAnsi="Arial" w:cs="Arial"/>
          <w:i/>
          <w:iCs/>
        </w:rPr>
        <w:t>Cart_o Cencosud</w:t>
      </w:r>
      <w:r>
        <w:rPr>
          <w:rFonts w:ascii="Arial" w:hAnsi="Arial" w:cs="Arial"/>
        </w:rPr>
        <w:t xml:space="preserve"> cards. Through these cards, we have increased the purchasing power of our income middle- and low-i</w:t>
      </w:r>
      <w:r>
        <w:rPr>
          <w:rFonts w:ascii="Arial" w:hAnsi="Arial" w:cs="Arial"/>
        </w:rPr>
        <w:t>ncome clients, who generally do not have credit with other institutions, and are generally unable to bear the fixed costs charged by other credit cards. These cards do not currently have administration fees, are accepted only in our stores and allow our cl</w:t>
      </w:r>
      <w:r>
        <w:rPr>
          <w:rFonts w:ascii="Arial" w:hAnsi="Arial" w:cs="Arial"/>
        </w:rPr>
        <w:t>ients to purchase food and non-food products. We believe that without access to these cards, many of our clients would not be able to afford purchases of higher-priced non-food items. Despite the poor credit background of some of our clients, these cards h</w:t>
      </w:r>
      <w:r>
        <w:rPr>
          <w:rFonts w:ascii="Arial" w:hAnsi="Arial" w:cs="Arial"/>
        </w:rPr>
        <w:t xml:space="preserve">ave low delinquency rates. As of December 31, 2011, 5.0% of our receivable accounts were outstanding for more than 90 days. </w:t>
      </w:r>
    </w:p>
    <w:p w:rsidR="00000000" w:rsidRDefault="003E5AFF">
      <w:pPr>
        <w:pStyle w:val="NormalWeb"/>
        <w:spacing w:before="240" w:beforeAutospacing="0" w:after="0" w:afterAutospacing="0"/>
      </w:pPr>
      <w:r>
        <w:rPr>
          <w:rFonts w:ascii="Arial" w:hAnsi="Arial" w:cs="Arial"/>
          <w:b/>
          <w:bCs/>
          <w:i/>
          <w:iCs/>
        </w:rPr>
        <w:t xml:space="preserve">Peru </w:t>
      </w:r>
    </w:p>
    <w:p w:rsidR="00000000" w:rsidRDefault="003E5AFF">
      <w:pPr>
        <w:pStyle w:val="NormalWeb"/>
        <w:spacing w:before="120" w:beforeAutospacing="0" w:after="0" w:afterAutospacing="0"/>
      </w:pPr>
      <w:r>
        <w:rPr>
          <w:rFonts w:ascii="Arial" w:hAnsi="Arial" w:cs="Arial"/>
        </w:rPr>
        <w:t xml:space="preserve">We aim to provide financial solutions </w:t>
      </w:r>
      <w:r>
        <w:rPr>
          <w:rFonts w:ascii="Arial" w:hAnsi="Arial" w:cs="Arial"/>
        </w:rPr>
        <w:t xml:space="preserve">to our customers in order to make our private label cards the primary form of payment used in our supermarkets in Peru. </w:t>
      </w:r>
    </w:p>
    <w:p w:rsidR="00000000" w:rsidRDefault="003E5AFF">
      <w:pPr>
        <w:pStyle w:val="NormalWeb"/>
        <w:spacing w:before="120" w:beforeAutospacing="0" w:after="0" w:afterAutospacing="0"/>
      </w:pPr>
      <w:r>
        <w:rPr>
          <w:rFonts w:ascii="Arial" w:hAnsi="Arial" w:cs="Arial"/>
        </w:rPr>
        <w:t>In August 2011, we launched our own private label credit card in Peru and we are expanding our offerings of financial services. The cre</w:t>
      </w:r>
      <w:r>
        <w:rPr>
          <w:rFonts w:ascii="Arial" w:hAnsi="Arial" w:cs="Arial"/>
        </w:rPr>
        <w:t>dit cards are operated through our supermarkets in Peru. In 2011, Cencosud created Banco Cencosud in Peru and is currently applying for the operation license from the Peruvian financial services regulator (</w:t>
      </w:r>
      <w:r>
        <w:rPr>
          <w:rFonts w:ascii="Arial" w:hAnsi="Arial" w:cs="Arial"/>
          <w:i/>
          <w:iCs/>
        </w:rPr>
        <w:t>Superintendencia de Banca, Seguros y AFP</w:t>
      </w:r>
      <w:r>
        <w:rPr>
          <w:rFonts w:ascii="Arial" w:hAnsi="Arial" w:cs="Arial"/>
        </w:rPr>
        <w:t>, or _SBS_</w:t>
      </w:r>
      <w:r>
        <w:rPr>
          <w:rFonts w:ascii="Arial" w:hAnsi="Arial" w:cs="Arial"/>
        </w:rPr>
        <w:t>). We estimate that we will receive the operation license in the third quarter of 2012 and expect to start operations in the second quarter of 2012. Our financial services segment also includes insurance brokerage services in Argentina, Chile, Brazil and P</w:t>
      </w:r>
      <w:r>
        <w:rPr>
          <w:rFonts w:ascii="Arial" w:hAnsi="Arial" w:cs="Arial"/>
        </w:rPr>
        <w:t xml:space="preserve">eru. </w:t>
      </w:r>
    </w:p>
    <w:p w:rsidR="00000000" w:rsidRDefault="003E5AFF">
      <w:pPr>
        <w:pStyle w:val="NormalWeb"/>
        <w:spacing w:before="120" w:beforeAutospacing="0" w:after="0" w:afterAutospacing="0"/>
      </w:pPr>
      <w:r>
        <w:rPr>
          <w:rFonts w:ascii="Arial" w:hAnsi="Arial" w:cs="Arial"/>
        </w:rPr>
        <w:t xml:space="preserve">The following table sets forth the credit cards sales by Metro and Wong in Peru and the percentage that such sales represent of each store_s total sales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930"/>
        <w:gridCol w:w="75"/>
        <w:gridCol w:w="90"/>
        <w:gridCol w:w="989"/>
        <w:gridCol w:w="143"/>
        <w:gridCol w:w="75"/>
        <w:gridCol w:w="71"/>
        <w:gridCol w:w="864"/>
        <w:gridCol w:w="112"/>
        <w:gridCol w:w="75"/>
        <w:gridCol w:w="56"/>
        <w:gridCol w:w="612"/>
        <w:gridCol w:w="112"/>
        <w:gridCol w:w="75"/>
        <w:gridCol w:w="56"/>
        <w:gridCol w:w="568"/>
        <w:gridCol w:w="112"/>
        <w:gridCol w:w="75"/>
        <w:gridCol w:w="56"/>
        <w:gridCol w:w="612"/>
        <w:gridCol w:w="112"/>
        <w:gridCol w:w="75"/>
        <w:gridCol w:w="56"/>
        <w:gridCol w:w="568"/>
        <w:gridCol w:w="112"/>
        <w:gridCol w:w="75"/>
        <w:gridCol w:w="56"/>
        <w:gridCol w:w="612"/>
        <w:gridCol w:w="112"/>
        <w:gridCol w:w="75"/>
        <w:gridCol w:w="56"/>
        <w:gridCol w:w="568"/>
        <w:gridCol w:w="112"/>
      </w:tblGrid>
      <w:tr w:rsidR="00000000">
        <w:trPr>
          <w:jc w:val="center"/>
        </w:trPr>
        <w:tc>
          <w:tcPr>
            <w:tcW w:w="17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 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30"/>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Metro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13,814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49,799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36,740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54,940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Wong</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2,553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Total(2)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14,411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51,957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39,292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57,586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value added taxes.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- 204 - </w:t>
      </w:r>
    </w:p>
    <w:p w:rsidR="00000000" w:rsidRDefault="003E5AFF">
      <w:pPr>
        <w:rPr>
          <w:rFonts w:eastAsia="Times New Roman" w:cs="Times New Roman"/>
        </w:rPr>
      </w:pPr>
      <w:r>
        <w:rPr>
          <w:rFonts w:eastAsia="Times New Roman" w:cs="Times New Roman"/>
        </w:rPr>
        <w:pict>
          <v:rect id="_x0000_i1241" style="width:441.9pt;height:3pt" o:hralign="center" o:hrstd="t" o:hrnoshade="t" o:hr="t" fillcolor="#999" stroked="f"/>
        </w:pict>
      </w:r>
    </w:p>
    <w:p w:rsidR="00000000" w:rsidRDefault="003E5AFF">
      <w:pPr>
        <w:pStyle w:val="Heading5"/>
        <w:rPr>
          <w:rFonts w:eastAsia="Times New Roman" w:cs="Times New Roman"/>
        </w:rPr>
      </w:pPr>
      <w:hyperlink r:id="rId258"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b/>
          <w:bCs/>
          <w:sz w:val="24"/>
          <w:szCs w:val="24"/>
        </w:rPr>
        <w:t xml:space="preserve">Other Operations </w:t>
      </w:r>
    </w:p>
    <w:p w:rsidR="00000000" w:rsidRDefault="003E5AFF">
      <w:pPr>
        <w:pStyle w:val="NormalWeb"/>
        <w:spacing w:before="120" w:beforeAutospacing="0" w:after="0" w:afterAutospacing="0"/>
      </w:pPr>
      <w:r>
        <w:rPr>
          <w:rFonts w:ascii="Arial" w:hAnsi="Arial" w:cs="Arial"/>
          <w:b/>
          <w:bCs/>
          <w:i/>
          <w:iCs/>
        </w:rPr>
        <w:t xml:space="preserve">Electronic stores </w:t>
      </w:r>
    </w:p>
    <w:p w:rsidR="00000000" w:rsidRDefault="003E5AFF">
      <w:pPr>
        <w:pStyle w:val="NormalWeb"/>
        <w:spacing w:before="120" w:beforeAutospacing="0" w:after="0" w:afterAutospacing="0"/>
      </w:pPr>
      <w:r>
        <w:rPr>
          <w:rFonts w:ascii="Arial" w:hAnsi="Arial" w:cs="Arial"/>
        </w:rPr>
        <w:t>As of March 31, 2012 we also operated 68 Eletro-show electronic goods stores in the state of Sergipe in Brazil, through which we sell non-food items. The first Eletro-show store was opened in December 2005.</w:t>
      </w:r>
      <w:r>
        <w:rPr>
          <w:rFonts w:ascii="Arial" w:hAnsi="Arial" w:cs="Arial"/>
        </w:rPr>
        <w:t xml:space="preserve"> Our Eletro-show stores are operated in small cities where the opening of a traditional store is unjustified. This original and cheap format of store contributes to the enhancement of the GBarbosa brand in cities where we do not have other GBarbosa stores.</w:t>
      </w:r>
      <w:r>
        <w:rPr>
          <w:rFonts w:ascii="Arial" w:hAnsi="Arial" w:cs="Arial"/>
        </w:rPr>
        <w:t xml:space="preserve"> </w:t>
      </w:r>
    </w:p>
    <w:p w:rsidR="00000000" w:rsidRDefault="003E5AFF">
      <w:pPr>
        <w:pStyle w:val="NormalWeb"/>
        <w:spacing w:before="120" w:beforeAutospacing="0" w:after="0" w:afterAutospacing="0"/>
      </w:pPr>
      <w:r>
        <w:rPr>
          <w:rFonts w:ascii="Arial" w:hAnsi="Arial" w:cs="Arial"/>
        </w:rPr>
        <w:t>Our Eletro-show stores consist of small show rooms with up to a dozen products on display plus an online catalogue accessible at the store through in-store computers. Eletro-show stores have an average selling space per store of less than 100 square mete</w:t>
      </w:r>
      <w:r>
        <w:rPr>
          <w:rFonts w:ascii="Arial" w:hAnsi="Arial" w:cs="Arial"/>
        </w:rPr>
        <w:t>rs. The main target market is low- and middle-income classes of consumers, who do not have access to internet at home, are not used to making virtual purchases, and do not reside near one of our traditional stores. The store has a number of computers where</w:t>
      </w:r>
      <w:r>
        <w:rPr>
          <w:rFonts w:ascii="Arial" w:hAnsi="Arial" w:cs="Arial"/>
        </w:rPr>
        <w:t xml:space="preserve"> potential clients can access a wide range of products. Our salesmen are available to support the customers in the selection and purchase of desired products. We only sell non-food products in the kiosk. Once a customer places an order for products, we ass</w:t>
      </w:r>
      <w:r>
        <w:rPr>
          <w:rFonts w:ascii="Arial" w:hAnsi="Arial" w:cs="Arial"/>
        </w:rPr>
        <w:t>ure delivery within 48 hours. The Eletro-show stores have a separate space for community activities, which enables us to attract more customers. We intend to continue installing kiosks in select locations where there is appropriate demand. At March 31, 201</w:t>
      </w:r>
      <w:r>
        <w:rPr>
          <w:rFonts w:ascii="Arial" w:hAnsi="Arial" w:cs="Arial"/>
        </w:rPr>
        <w:t xml:space="preserve">2, our Eletro-show stores accounted for less than 1.0% of our consolidated revenues from ordinary activities. </w:t>
      </w:r>
    </w:p>
    <w:p w:rsidR="00000000" w:rsidRDefault="003E5AFF">
      <w:pPr>
        <w:pStyle w:val="NormalWeb"/>
        <w:spacing w:before="120" w:beforeAutospacing="0" w:after="0" w:afterAutospacing="0"/>
      </w:pPr>
      <w:r>
        <w:rPr>
          <w:rFonts w:ascii="Arial" w:hAnsi="Arial" w:cs="Arial"/>
        </w:rPr>
        <w:t xml:space="preserve">The following table sets forth certain performance metrics related to our Eletro-show in Brazil for the periods presented: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011"/>
        <w:gridCol w:w="177"/>
        <w:gridCol w:w="93"/>
        <w:gridCol w:w="830"/>
        <w:gridCol w:w="112"/>
        <w:gridCol w:w="177"/>
        <w:gridCol w:w="73"/>
        <w:gridCol w:w="650"/>
        <w:gridCol w:w="135"/>
        <w:gridCol w:w="177"/>
        <w:gridCol w:w="73"/>
        <w:gridCol w:w="650"/>
        <w:gridCol w:w="135"/>
        <w:gridCol w:w="178"/>
        <w:gridCol w:w="73"/>
        <w:gridCol w:w="650"/>
        <w:gridCol w:w="112"/>
      </w:tblGrid>
      <w:tr w:rsidR="00000000">
        <w:trPr>
          <w:jc w:val="center"/>
        </w:trPr>
        <w:tc>
          <w:tcPr>
            <w:tcW w:w="34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w:t>
            </w:r>
            <w:r>
              <w:rPr>
                <w:rFonts w:ascii="Arial" w:eastAsia="Times New Roman" w:hAnsi="Arial" w:cs="Arial"/>
                <w:b/>
                <w:bCs/>
              </w:rPr>
              <w:br/>
              <w:t>months</w:t>
            </w:r>
            <w:r>
              <w:rPr>
                <w:rFonts w:ascii="Arial" w:eastAsia="Times New Roman" w:hAnsi="Arial" w:cs="Arial"/>
                <w:b/>
                <w:bCs/>
              </w:rPr>
              <w:br/>
              <w:t>ended</w:t>
            </w:r>
            <w:r>
              <w:rPr>
                <w:rFonts w:ascii="Arial" w:eastAsia="Times New Roman" w:hAnsi="Arial" w:cs="Arial"/>
                <w:b/>
                <w:bCs/>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     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Number of stores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Total selling space (square meters)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5,516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3,891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120" w:beforeAutospacing="0" w:after="0" w:afterAutospacing="0"/>
      </w:pPr>
      <w:r>
        <w:rPr>
          <w:rFonts w:ascii="Arial" w:hAnsi="Arial" w:cs="Arial"/>
        </w:rPr>
        <w:t xml:space="preserve">The results of our Eletro-show stores are reported under our _supermarkets_ segment in our financial statements. </w:t>
      </w:r>
    </w:p>
    <w:p w:rsidR="00000000" w:rsidRDefault="003E5AFF">
      <w:pPr>
        <w:pStyle w:val="NormalWeb"/>
        <w:spacing w:before="240" w:beforeAutospacing="0" w:after="0" w:afterAutospacing="0"/>
      </w:pPr>
      <w:r>
        <w:rPr>
          <w:rFonts w:ascii="Arial" w:hAnsi="Arial" w:cs="Arial"/>
          <w:b/>
          <w:bCs/>
          <w:i/>
          <w:iCs/>
        </w:rPr>
        <w:t xml:space="preserve">Pharmacies </w:t>
      </w:r>
    </w:p>
    <w:p w:rsidR="00000000" w:rsidRDefault="003E5AFF">
      <w:pPr>
        <w:pStyle w:val="NormalWeb"/>
        <w:spacing w:before="120" w:beforeAutospacing="0" w:after="0" w:afterAutospacing="0"/>
      </w:pPr>
      <w:r>
        <w:rPr>
          <w:rFonts w:ascii="Arial" w:hAnsi="Arial" w:cs="Arial"/>
        </w:rPr>
        <w:t>We also operated 61 pharmacies in Brazil under the GBarbosa brand as of December </w:t>
      </w:r>
      <w:r>
        <w:rPr>
          <w:rFonts w:ascii="Arial" w:hAnsi="Arial" w:cs="Arial"/>
        </w:rPr>
        <w:t>31, 2011, which are located inside or adjacent to our GBarbosa supermarkets. At December 31, 2011, our GBarbosa pharmacies accounted for less than 0.3% of our consolidated revenues from ordinary activities. The results of our GBarbosa pharmacies are report</w:t>
      </w:r>
      <w:r>
        <w:rPr>
          <w:rFonts w:ascii="Arial" w:hAnsi="Arial" w:cs="Arial"/>
        </w:rPr>
        <w:t xml:space="preserve">ed under our _supermarkets_ segment in our financial statements. </w:t>
      </w:r>
    </w:p>
    <w:p w:rsidR="00000000" w:rsidRDefault="003E5AFF">
      <w:pPr>
        <w:pStyle w:val="NormalWeb"/>
        <w:spacing w:before="120" w:beforeAutospacing="0" w:after="0" w:afterAutospacing="0"/>
      </w:pPr>
      <w:r>
        <w:rPr>
          <w:rFonts w:ascii="Arial" w:hAnsi="Arial" w:cs="Arial"/>
        </w:rPr>
        <w:t>As of December 31, 2011, we operated 47 pharmacies in Peru under the Punto Farma Wong and Punta Farma Metro brands, which are located inside or adjacent to our Wong and Metro supermarkets. A</w:t>
      </w:r>
      <w:r>
        <w:rPr>
          <w:rFonts w:ascii="Arial" w:hAnsi="Arial" w:cs="Arial"/>
        </w:rPr>
        <w:t xml:space="preserve">t December 31, 2011, our Punto Farma pharmacies accounted for less than 0.2% of our consolidated revenues from ordinary activities. The results of our Punto Farma pharmacies are reported under our _supermarkets_ segment in our financial statements.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- 20</w:t>
      </w:r>
      <w:r>
        <w:rPr>
          <w:rFonts w:ascii="Arial" w:hAnsi="Arial" w:cs="Arial"/>
        </w:rPr>
        <w:t xml:space="preserve">5 - </w:t>
      </w:r>
    </w:p>
    <w:p w:rsidR="00000000" w:rsidRDefault="003E5AFF">
      <w:pPr>
        <w:rPr>
          <w:rFonts w:eastAsia="Times New Roman" w:cs="Times New Roman"/>
        </w:rPr>
      </w:pPr>
      <w:r>
        <w:rPr>
          <w:rFonts w:eastAsia="Times New Roman" w:cs="Times New Roman"/>
        </w:rPr>
        <w:pict>
          <v:rect id="_x0000_i1242" style="width:441.9pt;height:3pt" o:hralign="center" o:hrstd="t" o:hrnoshade="t" o:hr="t" fillcolor="#999" stroked="f"/>
        </w:pict>
      </w:r>
    </w:p>
    <w:p w:rsidR="00000000" w:rsidRDefault="003E5AFF">
      <w:pPr>
        <w:pStyle w:val="Heading5"/>
        <w:rPr>
          <w:rFonts w:eastAsia="Times New Roman" w:cs="Times New Roman"/>
        </w:rPr>
      </w:pPr>
      <w:hyperlink r:id="rId25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Gas stations </w:t>
      </w:r>
    </w:p>
    <w:p w:rsidR="00000000" w:rsidRDefault="003E5AFF">
      <w:pPr>
        <w:pStyle w:val="NormalWeb"/>
        <w:spacing w:before="120" w:beforeAutospacing="0" w:after="0" w:afterAutospacing="0"/>
      </w:pPr>
      <w:r>
        <w:rPr>
          <w:rFonts w:ascii="Arial" w:hAnsi="Arial" w:cs="Arial"/>
        </w:rPr>
        <w:t>We also operate 12 gas stations in Brazil, under the Bretas brand, which are located inside or adjacent to our Bretas superma</w:t>
      </w:r>
      <w:r>
        <w:rPr>
          <w:rFonts w:ascii="Arial" w:hAnsi="Arial" w:cs="Arial"/>
        </w:rPr>
        <w:t xml:space="preserve">rkets. At December 31, 2011, our Bretas gas stations accounted for less than 1.0% of our consolidated revenues from ordinary activities. The results of our Bretas gas stations are reported under our _supermarkets_ segment in our financial statements. </w:t>
      </w:r>
    </w:p>
    <w:p w:rsidR="00000000" w:rsidRDefault="003E5AFF">
      <w:pPr>
        <w:pStyle w:val="NormalWeb"/>
        <w:spacing w:before="240" w:beforeAutospacing="0" w:after="0" w:afterAutospacing="0"/>
      </w:pPr>
      <w:r>
        <w:rPr>
          <w:rFonts w:ascii="Arial" w:hAnsi="Arial" w:cs="Arial"/>
          <w:b/>
          <w:bCs/>
          <w:i/>
          <w:iCs/>
        </w:rPr>
        <w:t>Ente</w:t>
      </w:r>
      <w:r>
        <w:rPr>
          <w:rFonts w:ascii="Arial" w:hAnsi="Arial" w:cs="Arial"/>
          <w:b/>
          <w:bCs/>
          <w:i/>
          <w:iCs/>
        </w:rPr>
        <w:t xml:space="preserve">rtainment centers </w:t>
      </w:r>
    </w:p>
    <w:p w:rsidR="00000000" w:rsidRDefault="003E5AFF">
      <w:pPr>
        <w:pStyle w:val="NormalWeb"/>
        <w:spacing w:before="120" w:beforeAutospacing="0" w:after="0" w:afterAutospacing="0"/>
      </w:pPr>
      <w:r>
        <w:rPr>
          <w:rFonts w:ascii="Arial" w:hAnsi="Arial" w:cs="Arial"/>
        </w:rPr>
        <w:t xml:space="preserve">In Chile and Argentina, we operate ten family entertainment centers under the </w:t>
      </w:r>
      <w:r>
        <w:rPr>
          <w:rFonts w:ascii="Arial" w:hAnsi="Arial" w:cs="Arial"/>
        </w:rPr>
        <w:t>Aventura brand. Our Aventura entertainment centers offer arcade games, mechanical games, bowling lines, 3D games and even an indoor roller coaster in our Aventura center at Florida Center in Santiago. At December 31, 2011, our Aventura entertainment center</w:t>
      </w:r>
      <w:r>
        <w:rPr>
          <w:rFonts w:ascii="Arial" w:hAnsi="Arial" w:cs="Arial"/>
        </w:rPr>
        <w:t xml:space="preserve">s accounted for less than 1.0% of our consolidated revenues from ordinary activities. The results of our Aventura entertainment centers are reported under our _other_ segment in our financial statements. </w:t>
      </w:r>
    </w:p>
    <w:p w:rsidR="00000000" w:rsidRDefault="003E5AFF">
      <w:pPr>
        <w:pStyle w:val="NormalWeb"/>
        <w:spacing w:before="240" w:beforeAutospacing="0" w:after="0" w:afterAutospacing="0"/>
      </w:pPr>
      <w:r>
        <w:rPr>
          <w:rFonts w:ascii="Arial" w:hAnsi="Arial" w:cs="Arial"/>
          <w:b/>
          <w:bCs/>
          <w:i/>
          <w:iCs/>
        </w:rPr>
        <w:t xml:space="preserve">Loyalty programs </w:t>
      </w:r>
    </w:p>
    <w:p w:rsidR="00000000" w:rsidRDefault="003E5AFF">
      <w:pPr>
        <w:pStyle w:val="NormalWeb"/>
        <w:spacing w:before="120" w:beforeAutospacing="0" w:after="0" w:afterAutospacing="0"/>
      </w:pPr>
      <w:r>
        <w:rPr>
          <w:rFonts w:ascii="Arial" w:hAnsi="Arial" w:cs="Arial"/>
          <w:i/>
          <w:iCs/>
        </w:rPr>
        <w:t xml:space="preserve">General </w:t>
      </w:r>
    </w:p>
    <w:p w:rsidR="00000000" w:rsidRDefault="003E5AFF">
      <w:pPr>
        <w:pStyle w:val="NormalWeb"/>
        <w:spacing w:before="120" w:beforeAutospacing="0" w:after="0" w:afterAutospacing="0"/>
      </w:pPr>
      <w:r>
        <w:rPr>
          <w:rFonts w:ascii="Arial" w:hAnsi="Arial" w:cs="Arial"/>
        </w:rPr>
        <w:t>We have invested for the</w:t>
      </w:r>
      <w:r>
        <w:rPr>
          <w:rFonts w:ascii="Arial" w:hAnsi="Arial" w:cs="Arial"/>
        </w:rPr>
        <w:t xml:space="preserve"> last 13 years in loyalty programs designed to reward, retain and attract new customers. Our loyalty programs allow us to develop customer consumption databases which enable us to enhance our merchandise selection and to more effectively target our marketi</w:t>
      </w:r>
      <w:r>
        <w:rPr>
          <w:rFonts w:ascii="Arial" w:hAnsi="Arial" w:cs="Arial"/>
        </w:rPr>
        <w:t xml:space="preserve">ng efforts. Further, our loyalty programs allow us to enhance customer retention by improving our understanding of the buying patterns and preferences of our customers. </w:t>
      </w:r>
    </w:p>
    <w:p w:rsidR="00000000" w:rsidRDefault="003E5AFF">
      <w:pPr>
        <w:pStyle w:val="NormalWeb"/>
        <w:spacing w:before="120" w:beforeAutospacing="0" w:after="0" w:afterAutospacing="0"/>
      </w:pPr>
      <w:r>
        <w:rPr>
          <w:rFonts w:ascii="Arial" w:hAnsi="Arial" w:cs="Arial"/>
        </w:rPr>
        <w:t>Our loyalty programs allow customers to benefit by accumulating points from the purcha</w:t>
      </w:r>
      <w:r>
        <w:rPr>
          <w:rFonts w:ascii="Arial" w:hAnsi="Arial" w:cs="Arial"/>
        </w:rPr>
        <w:t>ses they make in our different stores as well as purchases they make with our affiliates, which can then be used to acquire products listed in special catalogues and sold in our stores. In 1999, we started with Jumbo M_s and, in 2006, after significant gro</w:t>
      </w:r>
      <w:r>
        <w:rPr>
          <w:rFonts w:ascii="Arial" w:hAnsi="Arial" w:cs="Arial"/>
        </w:rPr>
        <w:t>wth in our operations due to several acquisitions, we migrated to a multi-sponsor program named Circulo M_s. In 2010, we launched the Nectar loyalty program through a partnership with Groupe Aeroplan Inc. (_Groupe Aeroplan_), a leading loyalty management a</w:t>
      </w:r>
      <w:r>
        <w:rPr>
          <w:rFonts w:ascii="Arial" w:hAnsi="Arial" w:cs="Arial"/>
        </w:rPr>
        <w:t xml:space="preserve">nd customer insights company. </w:t>
      </w:r>
    </w:p>
    <w:p w:rsidR="00000000" w:rsidRDefault="003E5AFF">
      <w:pPr>
        <w:pStyle w:val="NormalWeb"/>
        <w:spacing w:before="120" w:beforeAutospacing="0" w:after="0" w:afterAutospacing="0"/>
      </w:pPr>
      <w:r>
        <w:rPr>
          <w:rFonts w:ascii="Arial" w:hAnsi="Arial" w:cs="Arial"/>
        </w:rPr>
        <w:t>Nectar was created in the United Kingdom in 2002 and has become one of the largest loyalty programs in the world. Through our partnership with Groupe Aeroplan, we are able to utilize some of the most sophisticated loyalty and</w:t>
      </w:r>
      <w:r>
        <w:rPr>
          <w:rFonts w:ascii="Arial" w:hAnsi="Arial" w:cs="Arial"/>
        </w:rPr>
        <w:t xml:space="preserve"> customer intelligence experience from over 15 countries provided by leading retailers like Sainsbury_s, one of the United Kingdom_s leading food retailer, Auchan, the Italian hypermarkets operator, and CVS Caremark, one of the largest pharmacy health care</w:t>
      </w:r>
      <w:r>
        <w:rPr>
          <w:rFonts w:ascii="Arial" w:hAnsi="Arial" w:cs="Arial"/>
        </w:rPr>
        <w:t xml:space="preserve"> provider in the United States. Nectar allows us to enhance our customers_ experience by providing a generous, flexible, every-day rewards program, reduces our overall operating costs as some costs are shared by the group of businesses that participate in </w:t>
      </w:r>
      <w:r>
        <w:rPr>
          <w:rFonts w:ascii="Arial" w:hAnsi="Arial" w:cs="Arial"/>
        </w:rPr>
        <w:t xml:space="preserve">the program, and provides us with a large and rich customer consumption database that allows us to better understand a large number of our customers. </w:t>
      </w:r>
    </w:p>
    <w:p w:rsidR="00000000" w:rsidRDefault="003E5AFF">
      <w:pPr>
        <w:pStyle w:val="NormalWeb"/>
        <w:spacing w:before="120" w:beforeAutospacing="0" w:after="0" w:afterAutospacing="0"/>
      </w:pPr>
      <w:r>
        <w:rPr>
          <w:rFonts w:ascii="Arial" w:hAnsi="Arial" w:cs="Arial"/>
        </w:rPr>
        <w:t>We believe that our loyalty programs, particularly Nectar, strengthen our relationship with our customers</w:t>
      </w:r>
      <w:r>
        <w:rPr>
          <w:rFonts w:ascii="Arial" w:hAnsi="Arial" w:cs="Arial"/>
        </w:rPr>
        <w:t xml:space="preserve"> and believe that a substantial majority of our sales come from loyalty clients. </w:t>
      </w:r>
    </w:p>
    <w:p w:rsidR="00000000" w:rsidRDefault="003E5AFF">
      <w:pPr>
        <w:pStyle w:val="NormalWeb"/>
        <w:spacing w:before="120" w:beforeAutospacing="0" w:after="0" w:afterAutospacing="0"/>
      </w:pPr>
      <w:r>
        <w:rPr>
          <w:rFonts w:ascii="Arial" w:hAnsi="Arial" w:cs="Arial"/>
        </w:rPr>
        <w:t xml:space="preserve">The results of our loyalty programs are reported under our _other_ segment in our financial statements.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- 206 - </w:t>
      </w:r>
    </w:p>
    <w:p w:rsidR="00000000" w:rsidRDefault="003E5AFF">
      <w:pPr>
        <w:rPr>
          <w:rFonts w:eastAsia="Times New Roman" w:cs="Times New Roman"/>
        </w:rPr>
      </w:pPr>
      <w:r>
        <w:rPr>
          <w:rFonts w:eastAsia="Times New Roman" w:cs="Times New Roman"/>
        </w:rPr>
        <w:pict>
          <v:rect id="_x0000_i1243" style="width:441.9pt;height:3pt" o:hralign="center" o:hrstd="t" o:hrnoshade="t" o:hr="t" fillcolor="#999" stroked="f"/>
        </w:pict>
      </w:r>
    </w:p>
    <w:p w:rsidR="00000000" w:rsidRDefault="003E5AFF">
      <w:pPr>
        <w:pStyle w:val="Heading5"/>
        <w:rPr>
          <w:rFonts w:eastAsia="Times New Roman" w:cs="Times New Roman"/>
        </w:rPr>
      </w:pPr>
      <w:hyperlink r:id="rId26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 xml:space="preserve">Chile </w:t>
      </w:r>
    </w:p>
    <w:p w:rsidR="00000000" w:rsidRDefault="003E5AFF">
      <w:pPr>
        <w:pStyle w:val="NormalWeb"/>
        <w:spacing w:before="120" w:beforeAutospacing="0" w:after="0" w:afterAutospacing="0"/>
      </w:pPr>
      <w:r>
        <w:rPr>
          <w:rFonts w:ascii="Arial" w:hAnsi="Arial" w:cs="Arial"/>
        </w:rPr>
        <w:t>We offer our Nectar loyalty programs in Chile. As of March 31, 2012, we had issued approximately 1.9 </w:t>
      </w:r>
      <w:r>
        <w:rPr>
          <w:rFonts w:ascii="Arial" w:hAnsi="Arial" w:cs="Arial"/>
        </w:rPr>
        <w:t xml:space="preserve">million active loyalty members in Chile, and as of the same date, 74.9% of our sales in Chile came from loyalty club members. </w:t>
      </w:r>
    </w:p>
    <w:p w:rsidR="00000000" w:rsidRDefault="003E5AFF">
      <w:pPr>
        <w:pStyle w:val="NormalWeb"/>
        <w:spacing w:before="120" w:beforeAutospacing="0" w:after="0" w:afterAutospacing="0"/>
      </w:pPr>
      <w:r>
        <w:rPr>
          <w:rFonts w:ascii="Arial" w:hAnsi="Arial" w:cs="Arial"/>
        </w:rPr>
        <w:t>The following table sets forth certain information regarding our loyalty program sales by each of our divisions in Chile, for the</w:t>
      </w:r>
      <w:r>
        <w:rPr>
          <w:rFonts w:ascii="Arial" w:hAnsi="Arial" w:cs="Arial"/>
        </w:rPr>
        <w:t xml:space="preserv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685"/>
        <w:gridCol w:w="75"/>
        <w:gridCol w:w="367"/>
        <w:gridCol w:w="779"/>
        <w:gridCol w:w="112"/>
        <w:gridCol w:w="75"/>
        <w:gridCol w:w="56"/>
        <w:gridCol w:w="568"/>
        <w:gridCol w:w="112"/>
        <w:gridCol w:w="75"/>
        <w:gridCol w:w="367"/>
        <w:gridCol w:w="946"/>
        <w:gridCol w:w="112"/>
        <w:gridCol w:w="75"/>
        <w:gridCol w:w="56"/>
        <w:gridCol w:w="568"/>
        <w:gridCol w:w="112"/>
        <w:gridCol w:w="75"/>
        <w:gridCol w:w="367"/>
        <w:gridCol w:w="946"/>
        <w:gridCol w:w="112"/>
        <w:gridCol w:w="75"/>
        <w:gridCol w:w="56"/>
        <w:gridCol w:w="401"/>
        <w:gridCol w:w="112"/>
        <w:gridCol w:w="75"/>
        <w:gridCol w:w="367"/>
        <w:gridCol w:w="946"/>
        <w:gridCol w:w="112"/>
        <w:gridCol w:w="75"/>
        <w:gridCol w:w="56"/>
        <w:gridCol w:w="401"/>
        <w:gridCol w:w="112"/>
      </w:tblGrid>
      <w:tr w:rsidR="00000000">
        <w:trPr>
          <w:jc w:val="center"/>
        </w:trPr>
        <w:tc>
          <w:tcPr>
            <w:tcW w:w="11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Three months ended</w:t>
            </w:r>
            <w:r>
              <w:rPr>
                <w:rFonts w:ascii="Arial" w:eastAsia="Times New Roman" w:hAnsi="Arial" w:cs="Arial"/>
                <w:b/>
                <w:bCs/>
                <w:sz w:val="15"/>
                <w:szCs w:val="15"/>
              </w:rPr>
              <w:b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sz w:val="15"/>
                <w:szCs w:val="15"/>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sz w:val="15"/>
                <w:szCs w:val="15"/>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sz w:val="15"/>
                <w:szCs w:val="15"/>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sz w:val="15"/>
                <w:szCs w:val="15"/>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sz w:val="15"/>
                <w:szCs w:val="15"/>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sz w:val="15"/>
                <w:szCs w:val="15"/>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sz w:val="15"/>
                <w:szCs w:val="15"/>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vAlign w:val="bottom"/>
            <w:hideMark/>
          </w:tcPr>
          <w:p w:rsidR="00000000" w:rsidRDefault="003E5AFF">
            <w:pPr>
              <w:jc w:val="right"/>
              <w:rPr>
                <w:rFonts w:eastAsia="Times New Roman" w:cs="Times New Roman"/>
              </w:rPr>
            </w:pPr>
            <w:r>
              <w:rPr>
                <w:rFonts w:ascii="Arial" w:eastAsia="Times New Roman" w:hAnsi="Arial" w:cs="Arial"/>
                <w:b/>
                <w:bCs/>
                <w:sz w:val="15"/>
                <w:szCs w:val="15"/>
              </w:rPr>
              <w:t>(in millions of Ch$, except percentages)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Jumbo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318,321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1,211,609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1,082,538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984,851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Santa Isabel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242,352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967,724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909,138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928,443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Easy</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95,431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351,647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318,919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252,339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Paris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183,699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799,122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719,635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597,872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840,179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3,335,146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75.8%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3,030,230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 2,763,505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Percentage that such sales represent of total sales by each of our stores in Chile. </w:t>
            </w:r>
          </w:p>
        </w:tc>
      </w:tr>
    </w:tbl>
    <w:p w:rsidR="00000000" w:rsidRDefault="003E5AFF">
      <w:pPr>
        <w:pStyle w:val="NormalWeb"/>
        <w:spacing w:before="240" w:beforeAutospacing="0" w:after="0" w:afterAutospacing="0"/>
      </w:pPr>
      <w:r>
        <w:rPr>
          <w:rFonts w:ascii="Arial" w:hAnsi="Arial" w:cs="Arial"/>
          <w:i/>
          <w:iCs/>
        </w:rPr>
        <w:t xml:space="preserve">Argentina </w:t>
      </w:r>
    </w:p>
    <w:p w:rsidR="00000000" w:rsidRDefault="003E5AFF">
      <w:pPr>
        <w:pStyle w:val="NormalWeb"/>
        <w:spacing w:before="120" w:beforeAutospacing="0" w:after="0" w:afterAutospacing="0"/>
      </w:pPr>
      <w:r>
        <w:rPr>
          <w:rFonts w:ascii="Arial" w:hAnsi="Arial" w:cs="Arial"/>
        </w:rPr>
        <w:t xml:space="preserve">In Argentina we also offer our Jumbo M_s and Disco Plus loyalty programs. As of March 31, 2012, we had 1.2 million active loyalty club members in Argentina and, as of the same date, 63.0% of our sales in Argentina came from loyalty club members. </w:t>
      </w:r>
    </w:p>
    <w:p w:rsidR="00000000" w:rsidRDefault="003E5AFF">
      <w:pPr>
        <w:pStyle w:val="NormalWeb"/>
        <w:spacing w:before="120" w:beforeAutospacing="0" w:after="0" w:afterAutospacing="0"/>
      </w:pPr>
      <w:r>
        <w:rPr>
          <w:rFonts w:ascii="Arial" w:hAnsi="Arial" w:cs="Arial"/>
        </w:rPr>
        <w:t>The follo</w:t>
      </w:r>
      <w:r>
        <w:rPr>
          <w:rFonts w:ascii="Arial" w:hAnsi="Arial" w:cs="Arial"/>
        </w:rPr>
        <w:t xml:space="preserve">wing table sets forth certain information regarding our loyalty program sales by each of our divisions in Argentina,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685"/>
        <w:gridCol w:w="75"/>
        <w:gridCol w:w="478"/>
        <w:gridCol w:w="767"/>
        <w:gridCol w:w="112"/>
        <w:gridCol w:w="38"/>
        <w:gridCol w:w="56"/>
        <w:gridCol w:w="401"/>
        <w:gridCol w:w="112"/>
        <w:gridCol w:w="75"/>
        <w:gridCol w:w="478"/>
        <w:gridCol w:w="767"/>
        <w:gridCol w:w="112"/>
        <w:gridCol w:w="38"/>
        <w:gridCol w:w="56"/>
        <w:gridCol w:w="401"/>
        <w:gridCol w:w="112"/>
        <w:gridCol w:w="75"/>
        <w:gridCol w:w="478"/>
        <w:gridCol w:w="767"/>
        <w:gridCol w:w="112"/>
        <w:gridCol w:w="38"/>
        <w:gridCol w:w="56"/>
        <w:gridCol w:w="401"/>
        <w:gridCol w:w="112"/>
        <w:gridCol w:w="75"/>
        <w:gridCol w:w="478"/>
        <w:gridCol w:w="767"/>
        <w:gridCol w:w="112"/>
        <w:gridCol w:w="38"/>
        <w:gridCol w:w="56"/>
        <w:gridCol w:w="401"/>
        <w:gridCol w:w="112"/>
      </w:tblGrid>
      <w:tr w:rsidR="00000000">
        <w:trPr>
          <w:jc w:val="center"/>
        </w:trPr>
        <w:tc>
          <w:tcPr>
            <w:tcW w:w="1150" w:type="pct"/>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w:t>
            </w:r>
            <w:r>
              <w:rPr>
                <w:rFonts w:ascii="Arial" w:eastAsia="Times New Roman" w:hAnsi="Arial" w:cs="Arial"/>
                <w:b/>
                <w:bCs/>
              </w:rPr>
              <w:br/>
              <w:t>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vAlign w:val="bottom"/>
            <w:hideMark/>
          </w:tcPr>
          <w:p w:rsidR="00000000" w:rsidRDefault="003E5AFF">
            <w:pPr>
              <w:jc w:val="right"/>
              <w:rPr>
                <w:rFonts w:eastAsia="Times New Roman" w:cs="Times New Roman"/>
              </w:rPr>
            </w:pPr>
            <w:r>
              <w:rPr>
                <w:rFonts w:ascii="Arial" w:eastAsia="Times New Roman" w:hAnsi="Arial" w:cs="Arial"/>
                <w:b/>
                <w:bCs/>
              </w:rPr>
              <w:t>(in millions of nominal Ar$, except percentages)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Jumbo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Ar$</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716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Ar$</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Ar$</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2,162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Ar$</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Disco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Ar$</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896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Ar$</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3,885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Ar$</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2,987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Ar$</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2,162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Ar$</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1,613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Ar$</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Ar$</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5,149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Ar$</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Percentage that such sales represent of total sales by each of our stores in Argentina. </w:t>
            </w:r>
          </w:p>
        </w:tc>
      </w:tr>
    </w:tbl>
    <w:p w:rsidR="00000000" w:rsidRDefault="003E5AFF">
      <w:pPr>
        <w:pStyle w:val="NormalWeb"/>
        <w:spacing w:before="240" w:beforeAutospacing="0" w:after="0" w:afterAutospacing="0"/>
      </w:pPr>
      <w:r>
        <w:rPr>
          <w:rFonts w:ascii="Arial" w:hAnsi="Arial" w:cs="Arial"/>
          <w:i/>
          <w:iCs/>
        </w:rPr>
        <w:t xml:space="preserve">Peru </w:t>
      </w:r>
    </w:p>
    <w:p w:rsidR="00000000" w:rsidRDefault="003E5AFF">
      <w:pPr>
        <w:pStyle w:val="NormalWeb"/>
        <w:spacing w:before="120" w:beforeAutospacing="0" w:after="0" w:afterAutospacing="0"/>
      </w:pPr>
      <w:r>
        <w:rPr>
          <w:rFonts w:ascii="Arial" w:hAnsi="Arial" w:cs="Arial"/>
        </w:rPr>
        <w:t>In Peru, we are members of the Bonus loyalty program, with a 42.5% ownership. Bonus is a leading multi-participant loyalty program that develops and manages loyalty and incentives programs through a system that rewards customers by giving them points for t</w:t>
      </w:r>
      <w:r>
        <w:rPr>
          <w:rFonts w:ascii="Arial" w:hAnsi="Arial" w:cs="Arial"/>
        </w:rPr>
        <w:t xml:space="preserve">heir purchases in any of our stores that later can be exchanged for other products. At the same time, it allows us to administer a database for marketing campaigns directed to specific segments.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- 207 - </w:t>
      </w:r>
    </w:p>
    <w:p w:rsidR="00000000" w:rsidRDefault="003E5AFF">
      <w:pPr>
        <w:rPr>
          <w:rFonts w:eastAsia="Times New Roman" w:cs="Times New Roman"/>
        </w:rPr>
      </w:pPr>
      <w:r>
        <w:rPr>
          <w:rFonts w:eastAsia="Times New Roman" w:cs="Times New Roman"/>
        </w:rPr>
        <w:pict>
          <v:rect id="_x0000_i1244" style="width:441.9pt;height:3pt" o:hralign="center" o:hrstd="t" o:hrnoshade="t" o:hr="t" fillcolor="#999" stroked="f"/>
        </w:pict>
      </w:r>
    </w:p>
    <w:p w:rsidR="00000000" w:rsidRDefault="003E5AFF">
      <w:pPr>
        <w:pStyle w:val="Heading5"/>
        <w:rPr>
          <w:rFonts w:eastAsia="Times New Roman" w:cs="Times New Roman"/>
        </w:rPr>
      </w:pPr>
      <w:hyperlink r:id="rId261"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rPr>
        <w:t xml:space="preserve">The following table sets forth certain information regarding our loyalty program sales by each of our divisions in Peru, for the periods indicated.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685"/>
        <w:gridCol w:w="38"/>
        <w:gridCol w:w="78"/>
        <w:gridCol w:w="462"/>
        <w:gridCol w:w="155"/>
        <w:gridCol w:w="75"/>
        <w:gridCol w:w="78"/>
        <w:gridCol w:w="786"/>
        <w:gridCol w:w="112"/>
        <w:gridCol w:w="75"/>
        <w:gridCol w:w="125"/>
        <w:gridCol w:w="1120"/>
        <w:gridCol w:w="112"/>
        <w:gridCol w:w="75"/>
        <w:gridCol w:w="56"/>
        <w:gridCol w:w="568"/>
        <w:gridCol w:w="112"/>
        <w:gridCol w:w="75"/>
        <w:gridCol w:w="125"/>
        <w:gridCol w:w="1120"/>
        <w:gridCol w:w="112"/>
        <w:gridCol w:w="75"/>
        <w:gridCol w:w="56"/>
        <w:gridCol w:w="568"/>
        <w:gridCol w:w="112"/>
        <w:gridCol w:w="75"/>
        <w:gridCol w:w="125"/>
        <w:gridCol w:w="1120"/>
        <w:gridCol w:w="112"/>
        <w:gridCol w:w="75"/>
        <w:gridCol w:w="56"/>
        <w:gridCol w:w="568"/>
        <w:gridCol w:w="112"/>
      </w:tblGrid>
      <w:tr w:rsidR="00000000">
        <w:trPr>
          <w:jc w:val="center"/>
        </w:trPr>
        <w:tc>
          <w:tcPr>
            <w:tcW w:w="125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w:t>
            </w:r>
            <w:r>
              <w:rPr>
                <w:rFonts w:eastAsia="Times New Roman" w:cs="Times New Roman"/>
              </w:rPr>
              <w:br/>
            </w:r>
            <w:r>
              <w:rPr>
                <w:rFonts w:ascii="Arial" w:eastAsia="Times New Roman" w:hAnsi="Arial" w:cs="Arial"/>
                <w:b/>
                <w:bCs/>
              </w:rPr>
              <w:t>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Sales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Sales (W/tax)</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noWrap/>
            <w:vAlign w:val="bottom"/>
            <w:hideMark/>
          </w:tcPr>
          <w:p w:rsidR="00000000" w:rsidRDefault="003E5AFF">
            <w:pPr>
              <w:jc w:val="right"/>
              <w:rPr>
                <w:rFonts w:eastAsia="Times New Roman" w:cs="Times New Roman"/>
              </w:rPr>
            </w:pPr>
            <w:r>
              <w:rPr>
                <w:rFonts w:ascii="Arial" w:eastAsia="Times New Roman" w:hAnsi="Arial" w:cs="Arial"/>
                <w:b/>
                <w:bCs/>
              </w:rPr>
              <w:t>%</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2"/>
            <w:vAlign w:val="bottom"/>
            <w:hideMark/>
          </w:tcPr>
          <w:p w:rsidR="00000000" w:rsidRDefault="003E5AFF">
            <w:pPr>
              <w:jc w:val="right"/>
              <w:rPr>
                <w:rFonts w:eastAsia="Times New Roman" w:cs="Times New Roman"/>
              </w:rPr>
            </w:pPr>
            <w:r>
              <w:rPr>
                <w:rFonts w:ascii="Arial" w:eastAsia="Times New Roman" w:hAnsi="Arial" w:cs="Arial"/>
                <w:b/>
                <w:bCs/>
              </w:rPr>
              <w:t>(in millions of S/., except percentages)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3E5AFF">
        <w:trPr>
          <w:jc w:val="center"/>
        </w:trPr>
        <w:tc>
          <w:tcPr>
            <w:tcW w:w="0" w:type="auto"/>
            <w:shd w:val="clear" w:color="auto" w:fill="CCEEFF"/>
            <w:hideMark/>
          </w:tcPr>
          <w:p w:rsidR="00000000" w:rsidRDefault="003E5AFF">
            <w:pPr>
              <w:pStyle w:val="NormalWeb"/>
              <w:ind w:left="240" w:hanging="240"/>
            </w:pPr>
            <w:r>
              <w:rPr>
                <w:rFonts w:ascii="Arial" w:hAnsi="Arial" w:cs="Arial"/>
              </w:rPr>
              <w:t>Wong</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78.5%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1,238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1,006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Metro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2,002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1,665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79.0%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3E5AFF">
        <w:trPr>
          <w:jc w:val="center"/>
        </w:trPr>
        <w:tc>
          <w:tcPr>
            <w:tcW w:w="0" w:type="auto"/>
            <w:shd w:val="clear" w:color="auto" w:fill="CCEEFF"/>
            <w:hideMark/>
          </w:tcPr>
          <w:p w:rsidR="00000000" w:rsidRDefault="003E5AFF">
            <w:pPr>
              <w:pStyle w:val="NormalWeb"/>
              <w:ind w:left="480" w:hanging="240"/>
            </w:pPr>
            <w:r>
              <w:rPr>
                <w:rFonts w:ascii="Arial" w:hAnsi="Arial" w:cs="Arial"/>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3,420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2,671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32"/>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Percentage that such sales represent of total sales by each of our stores in Peru. </w:t>
            </w:r>
          </w:p>
        </w:tc>
      </w:tr>
    </w:tbl>
    <w:p w:rsidR="00000000" w:rsidRDefault="003E5AFF">
      <w:pPr>
        <w:pStyle w:val="NormalWeb"/>
        <w:spacing w:before="240" w:beforeAutospacing="0" w:after="0" w:afterAutospacing="0"/>
      </w:pPr>
      <w:r>
        <w:rPr>
          <w:rFonts w:ascii="Arial" w:hAnsi="Arial" w:cs="Arial"/>
          <w:b/>
          <w:bCs/>
          <w:sz w:val="24"/>
          <w:szCs w:val="24"/>
        </w:rPr>
        <w:t xml:space="preserve">Retail Consumer Banking </w:t>
      </w:r>
    </w:p>
    <w:p w:rsidR="00000000" w:rsidRDefault="003E5AFF">
      <w:pPr>
        <w:pStyle w:val="NormalWeb"/>
        <w:spacing w:before="120" w:beforeAutospacing="0" w:after="0" w:afterAutospacing="0"/>
      </w:pPr>
      <w:r>
        <w:rPr>
          <w:rFonts w:ascii="Arial" w:hAnsi="Arial" w:cs="Arial"/>
          <w:b/>
          <w:bCs/>
          <w:i/>
          <w:iCs/>
        </w:rPr>
        <w:t xml:space="preserve">Banco paris </w:t>
      </w:r>
    </w:p>
    <w:p w:rsidR="00000000" w:rsidRDefault="003E5AFF">
      <w:pPr>
        <w:pStyle w:val="NormalWeb"/>
        <w:spacing w:before="120" w:beforeAutospacing="0" w:after="0" w:afterAutospacing="0"/>
      </w:pPr>
      <w:r>
        <w:rPr>
          <w:rFonts w:ascii="Arial" w:hAnsi="Arial" w:cs="Arial"/>
        </w:rPr>
        <w:t>Since 2005, we have owned Banco Paris, a specialty retail consumer bank in Chile. Banco Paris was formerly the Santiago Express division of Banco Santander Santiago, which we acquired in 2005 and registered as a separate bank under the Banco Paris brand wi</w:t>
      </w:r>
      <w:r>
        <w:rPr>
          <w:rFonts w:ascii="Arial" w:hAnsi="Arial" w:cs="Arial"/>
        </w:rPr>
        <w:t xml:space="preserve">th the Superintendencia de Bancos e Instituciones Financieras (the </w:t>
      </w:r>
      <w:r>
        <w:rPr>
          <w:rFonts w:ascii="Arial" w:hAnsi="Arial" w:cs="Arial"/>
          <w:i/>
          <w:iCs/>
        </w:rPr>
        <w:t>Superintendency of Banks and Financial Institutions</w:t>
      </w:r>
      <w:r>
        <w:rPr>
          <w:rFonts w:ascii="Arial" w:hAnsi="Arial" w:cs="Arial"/>
        </w:rPr>
        <w:t>, or _SBIF_). Banco Paris_ network includes 60 branches throughout the city of Santiago and various regions of Chile. According to the Chi</w:t>
      </w:r>
      <w:r>
        <w:rPr>
          <w:rFonts w:ascii="Arial" w:hAnsi="Arial" w:cs="Arial"/>
        </w:rPr>
        <w:t xml:space="preserve">lean Central Bank, as of December 31, 2011, Banco Paris was ranked 16 in terms of total loans and accounts receivables among all private sector banks in Chile. At December 31, 2011, Banco Paris accounted for approximately 0.5% of our net revenues. </w:t>
      </w:r>
    </w:p>
    <w:p w:rsidR="00000000" w:rsidRDefault="003E5AFF">
      <w:pPr>
        <w:pStyle w:val="NormalWeb"/>
        <w:spacing w:before="120" w:beforeAutospacing="0" w:after="0" w:afterAutospacing="0"/>
      </w:pPr>
      <w:r>
        <w:rPr>
          <w:rFonts w:ascii="Arial" w:hAnsi="Arial" w:cs="Arial"/>
        </w:rPr>
        <w:t>Banco P</w:t>
      </w:r>
      <w:r>
        <w:rPr>
          <w:rFonts w:ascii="Arial" w:hAnsi="Arial" w:cs="Arial"/>
        </w:rPr>
        <w:t>aris_ lending and credit activities are primarily aimed at satisfying the demands for financial services of individuals. Banco Paris offers its individual customers a range of products and services aimed at satisfying their financial service needs, includi</w:t>
      </w:r>
      <w:r>
        <w:rPr>
          <w:rFonts w:ascii="Arial" w:hAnsi="Arial" w:cs="Arial"/>
        </w:rPr>
        <w:t>ng consumer loans, credit cards and residential mortgage loans. In keeping with its orientation to the retail banking market, Banco Paris offers a range of traditional deposit instruments, including savings and time deposits. Banco Paris also offers its cu</w:t>
      </w:r>
      <w:r>
        <w:rPr>
          <w:rFonts w:ascii="Arial" w:hAnsi="Arial" w:cs="Arial"/>
        </w:rPr>
        <w:t xml:space="preserve">stomers life and homeowner_s and insurance. </w:t>
      </w:r>
    </w:p>
    <w:p w:rsidR="00000000" w:rsidRDefault="003E5AFF">
      <w:pPr>
        <w:pStyle w:val="NormalWeb"/>
        <w:spacing w:before="120" w:beforeAutospacing="0" w:after="0" w:afterAutospacing="0"/>
      </w:pPr>
      <w:r>
        <w:rPr>
          <w:rFonts w:ascii="Arial" w:hAnsi="Arial" w:cs="Arial"/>
        </w:rPr>
        <w:t>At December 31, 2011, Banco Paris served more than 232,000 individual customers, with loans outstanding to approximately 200,000 debtors, including approximately 195,000 consumer loans and 6,000 credit card acco</w:t>
      </w:r>
      <w:r>
        <w:rPr>
          <w:rFonts w:ascii="Arial" w:hAnsi="Arial" w:cs="Arial"/>
        </w:rPr>
        <w:t xml:space="preserve">unts. At the same date, Banco Paris had 49,000 savings accounts and 1,200 time deposits related to individuals. </w:t>
      </w:r>
    </w:p>
    <w:p w:rsidR="00000000" w:rsidRDefault="003E5AFF">
      <w:pPr>
        <w:pStyle w:val="NormalWeb"/>
        <w:spacing w:before="120" w:beforeAutospacing="0" w:after="0" w:afterAutospacing="0"/>
      </w:pPr>
      <w:r>
        <w:rPr>
          <w:rFonts w:ascii="Arial" w:hAnsi="Arial" w:cs="Arial"/>
        </w:rPr>
        <w:t>To evaluate a customer_s credit risk, Banco Paris uses scoring and other automated systems to determine the customer_s profile and payment capa</w:t>
      </w:r>
      <w:r>
        <w:rPr>
          <w:rFonts w:ascii="Arial" w:hAnsi="Arial" w:cs="Arial"/>
        </w:rPr>
        <w:t xml:space="preserve">city in terms of income, education, family obligations, other financial obligations and other factors.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- 208 - </w:t>
      </w:r>
    </w:p>
    <w:p w:rsidR="00000000" w:rsidRDefault="003E5AFF">
      <w:pPr>
        <w:rPr>
          <w:rFonts w:eastAsia="Times New Roman" w:cs="Times New Roman"/>
        </w:rPr>
      </w:pPr>
      <w:r>
        <w:rPr>
          <w:rFonts w:eastAsia="Times New Roman" w:cs="Times New Roman"/>
        </w:rPr>
        <w:pict>
          <v:rect id="_x0000_i1245" style="width:441.9pt;height:3pt" o:hralign="center" o:hrstd="t" o:hrnoshade="t" o:hr="t" fillcolor="#999" stroked="f"/>
        </w:pict>
      </w:r>
    </w:p>
    <w:p w:rsidR="00000000" w:rsidRDefault="003E5AFF">
      <w:pPr>
        <w:pStyle w:val="Heading5"/>
        <w:rPr>
          <w:rFonts w:eastAsia="Times New Roman" w:cs="Times New Roman"/>
        </w:rPr>
      </w:pPr>
      <w:hyperlink r:id="rId26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ind w:left="238" w:hanging="245"/>
      </w:pPr>
      <w:r>
        <w:rPr>
          <w:rFonts w:ascii="Arial" w:hAnsi="Arial" w:cs="Arial"/>
        </w:rPr>
        <w:t xml:space="preserve">The table below sets forth information with respect to our Banco Paris loan portfolio: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732"/>
        <w:gridCol w:w="274"/>
        <w:gridCol w:w="102"/>
        <w:gridCol w:w="1321"/>
        <w:gridCol w:w="112"/>
        <w:gridCol w:w="274"/>
        <w:gridCol w:w="56"/>
        <w:gridCol w:w="723"/>
        <w:gridCol w:w="112"/>
        <w:gridCol w:w="274"/>
        <w:gridCol w:w="56"/>
        <w:gridCol w:w="723"/>
        <w:gridCol w:w="274"/>
        <w:gridCol w:w="382"/>
        <w:gridCol w:w="56"/>
        <w:gridCol w:w="723"/>
        <w:gridCol w:w="112"/>
      </w:tblGrid>
      <w:tr w:rsidR="00000000">
        <w:trPr>
          <w:jc w:val="center"/>
        </w:trPr>
        <w:tc>
          <w:tcPr>
            <w:tcW w:w="2500" w:type="pct"/>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Three-months  ended</w:t>
            </w:r>
            <w:r>
              <w:rPr>
                <w:rFonts w:eastAsia="Times New Roman" w:cs="Times New Roman"/>
              </w:rPr>
              <w:br/>
            </w:r>
            <w:r>
              <w:rPr>
                <w:rFonts w:ascii="Arial" w:eastAsia="Times New Roman" w:hAnsi="Arial" w:cs="Arial"/>
                <w:b/>
                <w:bCs/>
              </w:rPr>
              <w:t>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w:t>
            </w:r>
            <w:r>
              <w:rPr>
                <w:rFonts w:ascii="Arial" w:eastAsia="Times New Roman" w:hAnsi="Arial" w:cs="Arial"/>
                <w:b/>
                <w:bCs/>
              </w:rPr>
              <w:t>0</w:t>
            </w:r>
            <w:r>
              <w:rPr>
                <w:rFonts w:ascii="Arial" w:eastAsia="Times New Roman" w:hAnsi="Arial" w:cs="Arial"/>
                <w:b/>
                <w:bCs/>
                <w:sz w:val="15"/>
                <w:szCs w:val="15"/>
                <w:vertAlign w:val="superscript"/>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w:t>
            </w:r>
            <w:r>
              <w:rPr>
                <w:rFonts w:ascii="Arial" w:eastAsia="Times New Roman" w:hAnsi="Arial" w:cs="Arial"/>
                <w:b/>
                <w:bCs/>
              </w:rPr>
              <w:t>9</w:t>
            </w:r>
            <w:r>
              <w:rPr>
                <w:rFonts w:ascii="Arial" w:eastAsia="Times New Roman" w:hAnsi="Arial" w:cs="Arial"/>
                <w:b/>
                <w:bCs/>
                <w:sz w:val="15"/>
                <w:szCs w:val="15"/>
                <w:vertAlign w:val="superscript"/>
              </w:rPr>
              <w:t>(2)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vAlign w:val="bottom"/>
            <w:hideMark/>
          </w:tcPr>
          <w:p w:rsidR="00000000" w:rsidRDefault="003E5AFF">
            <w:pPr>
              <w:jc w:val="center"/>
              <w:rPr>
                <w:rFonts w:eastAsia="Times New Roman" w:cs="Times New Roman"/>
              </w:rPr>
            </w:pPr>
            <w:r>
              <w:rPr>
                <w:rFonts w:ascii="Arial" w:eastAsia="Times New Roman" w:hAnsi="Arial" w:cs="Arial"/>
                <w:b/>
                <w:bCs/>
              </w:rPr>
              <w:t>(in millions of Ch$</w:t>
            </w:r>
            <w:r>
              <w:rPr>
                <w:rFonts w:ascii="Arial" w:eastAsia="Times New Roman" w:hAnsi="Arial" w:cs="Arial"/>
                <w:b/>
                <w:bCs/>
              </w:rPr>
              <w:t>)</w:t>
            </w:r>
            <w:r>
              <w:rPr>
                <w:rFonts w:ascii="Arial" w:eastAsia="Times New Roman" w:hAnsi="Arial" w:cs="Arial"/>
                <w:b/>
                <w:bCs/>
                <w:sz w:val="15"/>
                <w:szCs w:val="15"/>
                <w:vertAlign w:val="superscript"/>
              </w:rPr>
              <w:t>(2)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rPr>
              <w:t>Portfolio Status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gridSpan w:val="9"/>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rPr>
              <w:t>Performing(3)</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183,538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128,488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136,976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136,499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Past due:</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31-89 days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6,866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5,616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7,307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9,499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90-180 days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5,259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5,664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480" w:hanging="240"/>
            </w:pPr>
            <w:r>
              <w:rPr>
                <w:rFonts w:ascii="Arial" w:hAnsi="Arial" w:cs="Arial"/>
              </w:rPr>
              <w:t>+ 180 days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728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964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521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b/>
                <w:bCs/>
              </w:rPr>
              <w:t>Total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196,390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139,768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150,910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153,518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Loan loss allowance as % of past due loans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Loan loss allowance as % of all loans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activities from postponed commissions.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Except percentages.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Performing loans not past due more than 30 days. Excludes Chilean credit card portfolio.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Entire portfolio written off. These claims are subject to a 100% allowance. </w:t>
            </w:r>
          </w:p>
        </w:tc>
      </w:tr>
    </w:tbl>
    <w:p w:rsidR="00000000" w:rsidRDefault="003E5AFF">
      <w:pPr>
        <w:pStyle w:val="NormalWeb"/>
        <w:spacing w:before="240" w:beforeAutospacing="0" w:after="0" w:afterAutospacing="0"/>
      </w:pPr>
      <w:r>
        <w:rPr>
          <w:rFonts w:ascii="Arial" w:hAnsi="Arial" w:cs="Arial"/>
          <w:b/>
          <w:bCs/>
          <w:i/>
          <w:iCs/>
        </w:rPr>
        <w:t xml:space="preserve">Banco Cencosud </w:t>
      </w:r>
    </w:p>
    <w:p w:rsidR="00000000" w:rsidRDefault="003E5AFF">
      <w:pPr>
        <w:pStyle w:val="NormalWeb"/>
        <w:spacing w:before="120" w:beforeAutospacing="0" w:after="0" w:afterAutospacing="0"/>
      </w:pPr>
      <w:r>
        <w:rPr>
          <w:rFonts w:ascii="Arial" w:hAnsi="Arial" w:cs="Arial"/>
        </w:rPr>
        <w:t>In 2011, Cencosud established Banco Cencosud in Peru and is currently applying for the operation license from the Peruvian financial services regulator (</w:t>
      </w:r>
      <w:r>
        <w:rPr>
          <w:rFonts w:ascii="Arial" w:hAnsi="Arial" w:cs="Arial"/>
          <w:i/>
          <w:iCs/>
        </w:rPr>
        <w:t>Superintendencia de Banca, Seguros</w:t>
      </w:r>
      <w:r>
        <w:rPr>
          <w:rFonts w:ascii="Arial" w:hAnsi="Arial" w:cs="Arial"/>
        </w:rPr>
        <w:t xml:space="preserve"> </w:t>
      </w:r>
      <w:r>
        <w:rPr>
          <w:rFonts w:ascii="Arial" w:hAnsi="Arial" w:cs="Arial"/>
        </w:rPr>
        <w:t xml:space="preserve">y AFP, or _SBS_). We estimate that we will receive the operation license in the third quarter of 2012 and expect to start operations in the second quarter of 2012. </w:t>
      </w:r>
    </w:p>
    <w:p w:rsidR="00000000" w:rsidRDefault="003E5AFF">
      <w:pPr>
        <w:pStyle w:val="NormalWeb"/>
        <w:spacing w:before="240" w:beforeAutospacing="0" w:after="0" w:afterAutospacing="0"/>
      </w:pPr>
      <w:r>
        <w:rPr>
          <w:rFonts w:ascii="Arial" w:hAnsi="Arial" w:cs="Arial"/>
          <w:b/>
          <w:bCs/>
          <w:sz w:val="24"/>
          <w:szCs w:val="24"/>
        </w:rPr>
        <w:t xml:space="preserve">Prices </w:t>
      </w:r>
    </w:p>
    <w:p w:rsidR="00000000" w:rsidRDefault="003E5AFF">
      <w:pPr>
        <w:pStyle w:val="NormalWeb"/>
        <w:spacing w:before="120" w:beforeAutospacing="0" w:after="0" w:afterAutospacing="0"/>
      </w:pPr>
      <w:r>
        <w:rPr>
          <w:rFonts w:ascii="Arial" w:hAnsi="Arial" w:cs="Arial"/>
        </w:rPr>
        <w:t>Our price strategy varies depending on the format, market and business unit. For our high-end formats, we seek to offer quality and service while for our mid- and low-income formats, we seek to offer competitive prices without compromising service and qual</w:t>
      </w:r>
      <w:r>
        <w:rPr>
          <w:rFonts w:ascii="Arial" w:hAnsi="Arial" w:cs="Arial"/>
        </w:rPr>
        <w:t>ity. In addition, for seasonal items, our strategy is to periodically markdown these items until we have sold all seasonal stock. To ensure the maintenance of competitive market prices, we monitor periodically the prices of our competitors and position our</w:t>
      </w:r>
      <w:r>
        <w:rPr>
          <w:rFonts w:ascii="Arial" w:hAnsi="Arial" w:cs="Arial"/>
        </w:rPr>
        <w:t xml:space="preserve"> prices to keep our competitiveness. Finally, we also support our prices with special offers and also with discounts through our private label credit cards. </w:t>
      </w:r>
    </w:p>
    <w:p w:rsidR="00000000" w:rsidRDefault="003E5AFF">
      <w:pPr>
        <w:pStyle w:val="NormalWeb"/>
        <w:spacing w:before="240" w:beforeAutospacing="0" w:after="0" w:afterAutospacing="0"/>
      </w:pPr>
      <w:r>
        <w:rPr>
          <w:rFonts w:ascii="Arial" w:hAnsi="Arial" w:cs="Arial"/>
          <w:b/>
          <w:bCs/>
          <w:sz w:val="24"/>
          <w:szCs w:val="24"/>
        </w:rPr>
        <w:t xml:space="preserve">Purchasing </w:t>
      </w:r>
    </w:p>
    <w:p w:rsidR="00000000" w:rsidRDefault="003E5AFF">
      <w:pPr>
        <w:pStyle w:val="NormalWeb"/>
        <w:spacing w:before="120" w:beforeAutospacing="0" w:after="0" w:afterAutospacing="0"/>
      </w:pPr>
      <w:r>
        <w:rPr>
          <w:rFonts w:ascii="Arial" w:hAnsi="Arial" w:cs="Arial"/>
        </w:rPr>
        <w:t>We purchase our products from approximately 13,000 suppliers. No single supplier or gr</w:t>
      </w:r>
      <w:r>
        <w:rPr>
          <w:rFonts w:ascii="Arial" w:hAnsi="Arial" w:cs="Arial"/>
        </w:rPr>
        <w:t>oup of related suppliers accounts for more than 3.1% of the total products purchased by us in 2011 on a consolidated basis. In addition to local and regional suppliers, we are also able to import products directly from Asia, where we are able to obtain mor</w:t>
      </w:r>
      <w:r>
        <w:rPr>
          <w:rFonts w:ascii="Arial" w:hAnsi="Arial" w:cs="Arial"/>
        </w:rPr>
        <w:t>e favorable pricing, and which in turn allows us to negotiate improved purchasing terms with certain suppliers. We believe that the sources and availability of materials for our retail store operations are adequate and will continue to be so for the forese</w:t>
      </w:r>
      <w:r>
        <w:rPr>
          <w:rFonts w:ascii="Arial" w:hAnsi="Arial" w:cs="Arial"/>
        </w:rPr>
        <w:t>eable future. We have not experienced any difficulty in obtaining the types or quantities of the merchandise we require on a timely basis and believe that, if any of our current sources of supplies were to become unavailable, alternative sources could be o</w:t>
      </w:r>
      <w:r>
        <w:rPr>
          <w:rFonts w:ascii="Arial" w:hAnsi="Arial" w:cs="Arial"/>
        </w:rPr>
        <w:t xml:space="preserve">btained without any material disruption to our business.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- 209 - </w:t>
      </w:r>
    </w:p>
    <w:p w:rsidR="00000000" w:rsidRDefault="003E5AFF">
      <w:pPr>
        <w:rPr>
          <w:rFonts w:eastAsia="Times New Roman" w:cs="Times New Roman"/>
        </w:rPr>
      </w:pPr>
      <w:r>
        <w:rPr>
          <w:rFonts w:eastAsia="Times New Roman" w:cs="Times New Roman"/>
        </w:rPr>
        <w:pict>
          <v:rect id="_x0000_i1246" style="width:441.9pt;height:3pt" o:hralign="center" o:hrstd="t" o:hrnoshade="t" o:hr="t" fillcolor="#999" stroked="f"/>
        </w:pict>
      </w:r>
    </w:p>
    <w:p w:rsidR="00000000" w:rsidRDefault="003E5AFF">
      <w:pPr>
        <w:pStyle w:val="Heading5"/>
        <w:rPr>
          <w:rFonts w:eastAsia="Times New Roman" w:cs="Times New Roman"/>
        </w:rPr>
      </w:pPr>
      <w:hyperlink r:id="rId26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Private label business </w:t>
      </w:r>
    </w:p>
    <w:p w:rsidR="00000000" w:rsidRDefault="003E5AFF">
      <w:pPr>
        <w:pStyle w:val="NormalWeb"/>
        <w:spacing w:before="120" w:beforeAutospacing="0" w:after="0" w:afterAutospacing="0"/>
      </w:pPr>
      <w:r>
        <w:rPr>
          <w:rFonts w:ascii="Arial" w:hAnsi="Arial" w:cs="Arial"/>
        </w:rPr>
        <w:t>Private label products are those manufactured by one company for offer under another company_s brand. We carry our own private label program in both our food-retail and non-food-retail businesses, which allows us t</w:t>
      </w:r>
      <w:r>
        <w:rPr>
          <w:rFonts w:ascii="Arial" w:hAnsi="Arial" w:cs="Arial"/>
        </w:rPr>
        <w:t xml:space="preserve">o offer a variety of products using our own portfolio of brands rather than third-party brands. The main objectives of our private label program are: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to provide differentiation and uniqueness to our stores by offering a unique set of products available only in our stores;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to achieve incremental margin versus the national brands. </w:t>
            </w:r>
          </w:p>
        </w:tc>
      </w:tr>
    </w:tbl>
    <w:p w:rsidR="00000000" w:rsidRDefault="003E5AFF">
      <w:pPr>
        <w:pStyle w:val="NormalWeb"/>
        <w:spacing w:before="120" w:beforeAutospacing="0" w:after="0" w:afterAutospacing="0"/>
      </w:pPr>
      <w:r>
        <w:rPr>
          <w:rFonts w:ascii="Arial" w:hAnsi="Arial" w:cs="Arial"/>
        </w:rPr>
        <w:t>Our strategy is to develop a portfolio of private brands</w:t>
      </w:r>
      <w:r>
        <w:rPr>
          <w:rFonts w:ascii="Arial" w:hAnsi="Arial" w:cs="Arial"/>
        </w:rPr>
        <w:t xml:space="preserve"> shared across all countries and business units and to cover the most important categories and developing value added (70%) and first price (30%) brands. To do this in 2009 we assembled a corporate private label team consisting of former employees of consu</w:t>
      </w:r>
      <w:r>
        <w:rPr>
          <w:rFonts w:ascii="Arial" w:hAnsi="Arial" w:cs="Arial"/>
        </w:rPr>
        <w:t>mer goods companies, such as L_Oreal, Unilever, P&amp;G and Nestl_. In 2008, we started to optimize and streamline our brand portfolio from 70 to 53 brands. We also established a private brand development process, a key performance index (KPI), toured retailer</w:t>
      </w:r>
      <w:r>
        <w:rPr>
          <w:rFonts w:ascii="Arial" w:hAnsi="Arial" w:cs="Arial"/>
        </w:rPr>
        <w:t>s worldwide searching for benchmarks, and created network of suppliers, agencies, consultants and research companies to help develop our private label brands. Our Paris department stores currently carry private label products under the brands Tribu, Opposi</w:t>
      </w:r>
      <w:r>
        <w:rPr>
          <w:rFonts w:ascii="Arial" w:hAnsi="Arial" w:cs="Arial"/>
        </w:rPr>
        <w:t xml:space="preserve">te, Aussy, Greenfield and Alaniz. </w:t>
      </w:r>
    </w:p>
    <w:p w:rsidR="00000000" w:rsidRDefault="003E5AFF">
      <w:pPr>
        <w:pStyle w:val="NormalWeb"/>
        <w:spacing w:before="120" w:beforeAutospacing="0" w:after="0" w:afterAutospacing="0"/>
      </w:pPr>
      <w:r>
        <w:rPr>
          <w:rFonts w:ascii="Arial" w:hAnsi="Arial" w:cs="Arial"/>
        </w:rPr>
        <w:t>As a result of these actions, our private label brands have grown two to three times faster than the rest of our business and we expect this trend to continue, with private label shares over sales growing from 6.9% of tot</w:t>
      </w:r>
      <w:r>
        <w:rPr>
          <w:rFonts w:ascii="Arial" w:hAnsi="Arial" w:cs="Arial"/>
        </w:rPr>
        <w:t xml:space="preserve">al sales in 2009 to 7.5% of total sales in 2011. </w:t>
      </w:r>
    </w:p>
    <w:p w:rsidR="00000000" w:rsidRDefault="003E5AFF">
      <w:pPr>
        <w:pStyle w:val="NormalWeb"/>
        <w:spacing w:before="240" w:beforeAutospacing="0" w:after="0" w:afterAutospacing="0"/>
      </w:pPr>
      <w:r>
        <w:rPr>
          <w:rFonts w:ascii="Arial" w:hAnsi="Arial" w:cs="Arial"/>
          <w:b/>
          <w:bCs/>
          <w:sz w:val="24"/>
          <w:szCs w:val="24"/>
        </w:rPr>
        <w:t xml:space="preserve">Distribution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 xml:space="preserve">Some of our products are delivered directly to our stores by our major suppliers and others are sent to our distribution centers. The use of our own distribution centers allows us to </w:t>
      </w:r>
      <w:r>
        <w:rPr>
          <w:rFonts w:ascii="Arial" w:hAnsi="Arial" w:cs="Arial"/>
        </w:rPr>
        <w:t>achieve operational efficiencies as suppliers can deliver their products to centralized locations rather than to our many store locations and we can benefit from economies of scale. In the event we experience significant growth outside our current geograph</w:t>
      </w:r>
      <w:r>
        <w:rPr>
          <w:rFonts w:ascii="Arial" w:hAnsi="Arial" w:cs="Arial"/>
        </w:rPr>
        <w:t xml:space="preserve">ic area, however, we may choose to lease additional facilities under similar terms or seek alternatives in order to recognize certain cost efficiencies. </w:t>
      </w:r>
    </w:p>
    <w:p w:rsidR="00000000" w:rsidRDefault="003E5AFF">
      <w:pPr>
        <w:pStyle w:val="NormalWeb"/>
        <w:spacing w:before="240" w:beforeAutospacing="0" w:after="0" w:afterAutospacing="0"/>
      </w:pPr>
      <w:r>
        <w:rPr>
          <w:rFonts w:ascii="Arial" w:hAnsi="Arial" w:cs="Arial"/>
          <w:b/>
          <w:bCs/>
          <w:i/>
          <w:iCs/>
        </w:rPr>
        <w:t xml:space="preserve">Supermarkets </w:t>
      </w:r>
    </w:p>
    <w:p w:rsidR="00000000" w:rsidRDefault="003E5AFF">
      <w:pPr>
        <w:pStyle w:val="NormalWeb"/>
        <w:spacing w:before="120" w:beforeAutospacing="0" w:after="0" w:afterAutospacing="0"/>
      </w:pPr>
      <w:r>
        <w:rPr>
          <w:rFonts w:ascii="Arial" w:hAnsi="Arial" w:cs="Arial"/>
          <w:i/>
          <w:iCs/>
        </w:rPr>
        <w:t xml:space="preserve">Chile </w:t>
      </w:r>
    </w:p>
    <w:p w:rsidR="00000000" w:rsidRDefault="003E5AFF">
      <w:pPr>
        <w:pStyle w:val="NormalWeb"/>
        <w:spacing w:before="120" w:beforeAutospacing="0" w:after="0" w:afterAutospacing="0"/>
      </w:pPr>
      <w:r>
        <w:rPr>
          <w:rFonts w:ascii="Arial" w:hAnsi="Arial" w:cs="Arial"/>
        </w:rPr>
        <w:t>For fast-moving and high-volume sales merchandise, national suppliers distribute products directly to each store. For slow-moving groceries, perishable fruits and vegetables and imported products and meat, distribution is centralized through our distributi</w:t>
      </w:r>
      <w:r>
        <w:rPr>
          <w:rFonts w:ascii="Arial" w:hAnsi="Arial" w:cs="Arial"/>
        </w:rPr>
        <w:t xml:space="preserve">on centers and delivered by third-party transportation companies. Sales from products delivered to our distribution centers accounted for approximately 45.0% of our sales at March 31, 2011. </w:t>
      </w:r>
    </w:p>
    <w:p w:rsidR="00000000" w:rsidRDefault="003E5AFF">
      <w:pPr>
        <w:pStyle w:val="NormalWeb"/>
        <w:spacing w:before="120" w:beforeAutospacing="0" w:after="0" w:afterAutospacing="0"/>
      </w:pPr>
      <w:r>
        <w:rPr>
          <w:rFonts w:ascii="Arial" w:hAnsi="Arial" w:cs="Arial"/>
        </w:rPr>
        <w:t>We operate in three distribution sites in the Santiago metropolit</w:t>
      </w:r>
      <w:r>
        <w:rPr>
          <w:rFonts w:ascii="Arial" w:hAnsi="Arial" w:cs="Arial"/>
        </w:rPr>
        <w:t xml:space="preserve">an region from which we conduct all centralized deliveries to our Jumbo and Santa Isabel stores, including: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41,000 square meters distribution center that operates in three shifts six days a week and is used to deliver non-perishable products, perishable fruits, vegetables and other refrigerated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- 210 - </w:t>
      </w:r>
    </w:p>
    <w:p w:rsidR="00000000" w:rsidRDefault="003E5AFF">
      <w:pPr>
        <w:rPr>
          <w:rFonts w:eastAsia="Times New Roman" w:cs="Times New Roman"/>
        </w:rPr>
      </w:pPr>
      <w:r>
        <w:rPr>
          <w:rFonts w:eastAsia="Times New Roman" w:cs="Times New Roman"/>
        </w:rPr>
        <w:pict>
          <v:rect id="_x0000_i1247" style="width:441.9pt;height:3pt" o:hralign="center" o:hrstd="t" o:hrnoshade="t" o:hr="t" fillcolor="#999" stroked="f"/>
        </w:pict>
      </w:r>
    </w:p>
    <w:p w:rsidR="00000000" w:rsidRDefault="003E5AFF">
      <w:pPr>
        <w:pStyle w:val="Heading5"/>
        <w:rPr>
          <w:rFonts w:eastAsia="Times New Roman" w:cs="Times New Roman"/>
        </w:rPr>
      </w:pPr>
      <w:hyperlink r:id="rId264"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66"/>
        <w:gridCol w:w="8140"/>
      </w:tblGrid>
      <w:tr w:rsidR="00000000">
        <w:tc>
          <w:tcPr>
            <w:tcW w:w="1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food categories to Santa Isabel and Jumbo stores. We use a cross-docking system for fresh products, tha</w:t>
            </w:r>
            <w:r>
              <w:rPr>
                <w:rFonts w:ascii="Arial" w:hAnsi="Arial" w:cs="Arial"/>
              </w:rPr>
              <w:t xml:space="preserve">t allows fresh products to reach stores in 24 hours. Cross-docking is the practice of receiving goods at a distribution center, which are immediately consolidated with other goods for quick distribution to stores.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 90,000 square meters distr</w:t>
            </w:r>
            <w:r>
              <w:rPr>
                <w:rFonts w:ascii="Arial" w:hAnsi="Arial" w:cs="Arial"/>
              </w:rPr>
              <w:t>ibution site used to deliver non-perishable, non-food and textile products. Three quarters of the distribution center are dedicated to imported products and the remainder is used for a cross-docking system of national products that allows products to be sh</w:t>
            </w:r>
            <w:r>
              <w:rPr>
                <w:rFonts w:ascii="Arial" w:hAnsi="Arial" w:cs="Arial"/>
              </w:rPr>
              <w:t xml:space="preserve">ipped in less than 24 hours.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2,500 square meters distribution center that is used to store and delivery of imported fresh meat. </w:t>
            </w:r>
          </w:p>
        </w:tc>
      </w:tr>
    </w:tbl>
    <w:p w:rsidR="00000000" w:rsidRDefault="003E5AFF">
      <w:pPr>
        <w:pStyle w:val="NormalWeb"/>
        <w:spacing w:before="120" w:beforeAutospacing="0" w:after="0" w:afterAutospacing="0"/>
      </w:pPr>
      <w:r>
        <w:rPr>
          <w:rFonts w:ascii="Arial" w:hAnsi="Arial" w:cs="Arial"/>
        </w:rPr>
        <w:t xml:space="preserve">Frozen products (imported and national) are stored and delivered using a third-party-logistic provider. </w:t>
      </w:r>
    </w:p>
    <w:p w:rsidR="00000000" w:rsidRDefault="003E5AFF">
      <w:pPr>
        <w:pStyle w:val="NormalWeb"/>
        <w:spacing w:before="120" w:beforeAutospacing="0" w:after="0" w:afterAutospacing="0"/>
      </w:pPr>
      <w:r>
        <w:rPr>
          <w:rFonts w:ascii="Arial" w:hAnsi="Arial" w:cs="Arial"/>
        </w:rPr>
        <w:t>In order to achieve operational efficiencies, during 2011 we increased the use of our centralized distribution system for Jumbo stores in the Santiago metropolitan region, primarily for non-perishable products and fruit and vegetables. During the first qua</w:t>
      </w:r>
      <w:r>
        <w:rPr>
          <w:rFonts w:ascii="Arial" w:hAnsi="Arial" w:cs="Arial"/>
        </w:rPr>
        <w:t xml:space="preserve">rter of 2012 we commenced a _Lean Logistics Project,_ with McKinsey &amp; Company consultants, in order to review our procedures. We use a SAP-based automatic replenishment system for all products stored in our distribution centers with the goal of increasing </w:t>
      </w:r>
      <w:r>
        <w:rPr>
          <w:rFonts w:ascii="Arial" w:hAnsi="Arial" w:cs="Arial"/>
        </w:rPr>
        <w:t xml:space="preserve">availability of products and maintaining lower inventories. </w:t>
      </w:r>
    </w:p>
    <w:p w:rsidR="00000000" w:rsidRDefault="003E5AFF">
      <w:pPr>
        <w:pStyle w:val="NormalWeb"/>
        <w:spacing w:before="120" w:beforeAutospacing="0" w:after="0" w:afterAutospacing="0"/>
      </w:pPr>
      <w:r>
        <w:rPr>
          <w:rFonts w:ascii="Arial" w:hAnsi="Arial" w:cs="Arial"/>
        </w:rPr>
        <w:t>Deliveries are made using external carriers. Freight contracts are generally signed for three- or four-year periods, and include a rate adjustment based on changes in oil prices, exchange rates a</w:t>
      </w:r>
      <w:r>
        <w:rPr>
          <w:rFonts w:ascii="Arial" w:hAnsi="Arial" w:cs="Arial"/>
        </w:rPr>
        <w:t xml:space="preserve">nd other factors. </w:t>
      </w:r>
    </w:p>
    <w:p w:rsidR="00000000" w:rsidRDefault="003E5AFF">
      <w:pPr>
        <w:pStyle w:val="NormalWeb"/>
        <w:spacing w:before="240" w:beforeAutospacing="0" w:after="0" w:afterAutospacing="0"/>
      </w:pPr>
      <w:r>
        <w:rPr>
          <w:rFonts w:ascii="Arial" w:hAnsi="Arial" w:cs="Arial"/>
          <w:i/>
          <w:iCs/>
        </w:rPr>
        <w:t xml:space="preserve">Argentina </w:t>
      </w:r>
    </w:p>
    <w:p w:rsidR="00000000" w:rsidRDefault="003E5AFF">
      <w:pPr>
        <w:pStyle w:val="NormalWeb"/>
        <w:spacing w:before="120" w:beforeAutospacing="0" w:after="0" w:afterAutospacing="0"/>
      </w:pPr>
      <w:r>
        <w:rPr>
          <w:rFonts w:ascii="Arial" w:hAnsi="Arial" w:cs="Arial"/>
        </w:rPr>
        <w:t>Distribution to our stores in Argentina is centralized from three distribution centers located in Buenos Aires, Cuyo and C_rdoba, and a transfer site in Tucuman totaling 153,000 square meters, which together accounted for 80.0</w:t>
      </w:r>
      <w:r>
        <w:rPr>
          <w:rFonts w:ascii="Arial" w:hAnsi="Arial" w:cs="Arial"/>
        </w:rPr>
        <w:t xml:space="preserve">% of our supermarket sales in Argentina in 2011, including meat and bakery products. Approximately 20% of our products are distributed to our stores directly by our suppliers. </w:t>
      </w:r>
    </w:p>
    <w:p w:rsidR="00000000" w:rsidRDefault="003E5AFF">
      <w:pPr>
        <w:pStyle w:val="NormalWeb"/>
        <w:spacing w:before="120" w:beforeAutospacing="0" w:after="0" w:afterAutospacing="0"/>
      </w:pPr>
      <w:r>
        <w:rPr>
          <w:rFonts w:ascii="Arial" w:hAnsi="Arial" w:cs="Arial"/>
        </w:rPr>
        <w:t xml:space="preserve">Each distribution center supports between 60 and 120 specific stores in a five </w:t>
      </w:r>
      <w:r>
        <w:rPr>
          <w:rFonts w:ascii="Arial" w:hAnsi="Arial" w:cs="Arial"/>
        </w:rPr>
        <w:t xml:space="preserve">to six days a week basis, running both a stock operation of national and imported products and a cross-docking operation for fresh vegetable and fruits, and a share of groceries received from national suppliers. All operations are supported by a warehouse </w:t>
      </w:r>
      <w:r>
        <w:rPr>
          <w:rFonts w:ascii="Arial" w:hAnsi="Arial" w:cs="Arial"/>
        </w:rPr>
        <w:t xml:space="preserve">management system and radio frequency technology (consisting of a special chip attached to our products which can be later detected by antennas, allowing real time knowledge about the location of our products). </w:t>
      </w:r>
    </w:p>
    <w:p w:rsidR="00000000" w:rsidRDefault="003E5AFF">
      <w:pPr>
        <w:pStyle w:val="NormalWeb"/>
        <w:spacing w:before="120" w:beforeAutospacing="0" w:after="0" w:afterAutospacing="0"/>
      </w:pPr>
      <w:r>
        <w:rPr>
          <w:rFonts w:ascii="Arial" w:hAnsi="Arial" w:cs="Arial"/>
        </w:rPr>
        <w:t>Real-time order information is transmitted f</w:t>
      </w:r>
      <w:r>
        <w:rPr>
          <w:rFonts w:ascii="Arial" w:hAnsi="Arial" w:cs="Arial"/>
        </w:rPr>
        <w:t>rom stores to distribution centers and subsequently to suppliers via our intranet site. This real-time system allows us to optimize product availability and delivery time. In addition, our distribution centers in Argentina have an automatic replenishment s</w:t>
      </w:r>
      <w:r>
        <w:rPr>
          <w:rFonts w:ascii="Arial" w:hAnsi="Arial" w:cs="Arial"/>
        </w:rPr>
        <w:t xml:space="preserve">ystem to manage all non-perishable goods, including discount and seasonal goods, which helps maintain proper inventory levels and avoid shortages. </w:t>
      </w:r>
    </w:p>
    <w:p w:rsidR="00000000" w:rsidRDefault="003E5AFF">
      <w:pPr>
        <w:pStyle w:val="NormalWeb"/>
        <w:spacing w:before="120" w:beforeAutospacing="0" w:after="0" w:afterAutospacing="0"/>
      </w:pPr>
      <w:r>
        <w:rPr>
          <w:rFonts w:ascii="Arial" w:hAnsi="Arial" w:cs="Arial"/>
        </w:rPr>
        <w:t xml:space="preserve">In order to increase our capacity and productivity, during 2011 we implemented a new voice automated system </w:t>
      </w:r>
      <w:r>
        <w:rPr>
          <w:rFonts w:ascii="Arial" w:hAnsi="Arial" w:cs="Arial"/>
        </w:rPr>
        <w:t xml:space="preserve">in our Buenos Aires and Cordoba sites. The roll-out to Mendoza is on-going. This technology gives our employees free use of their hands, thus improving their productivity and safety.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- 211 - </w:t>
      </w:r>
    </w:p>
    <w:p w:rsidR="00000000" w:rsidRDefault="003E5AFF">
      <w:pPr>
        <w:rPr>
          <w:rFonts w:eastAsia="Times New Roman" w:cs="Times New Roman"/>
        </w:rPr>
      </w:pPr>
      <w:r>
        <w:rPr>
          <w:rFonts w:eastAsia="Times New Roman" w:cs="Times New Roman"/>
        </w:rPr>
        <w:pict>
          <v:rect id="_x0000_i1248" style="width:441.9pt;height:3pt" o:hralign="center" o:hrstd="t" o:hrnoshade="t" o:hr="t" fillcolor="#999" stroked="f"/>
        </w:pict>
      </w:r>
    </w:p>
    <w:p w:rsidR="00000000" w:rsidRDefault="003E5AFF">
      <w:pPr>
        <w:pStyle w:val="Heading5"/>
        <w:rPr>
          <w:rFonts w:eastAsia="Times New Roman" w:cs="Times New Roman"/>
        </w:rPr>
      </w:pPr>
      <w:hyperlink r:id="rId26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All trucks are provided by third-party companies pursuant to one to three years contracts. </w:t>
      </w:r>
    </w:p>
    <w:p w:rsidR="00000000" w:rsidRDefault="003E5AFF">
      <w:pPr>
        <w:pStyle w:val="NormalWeb"/>
        <w:spacing w:before="240" w:beforeAutospacing="0" w:after="0" w:afterAutospacing="0"/>
      </w:pPr>
      <w:r>
        <w:rPr>
          <w:rFonts w:ascii="Arial" w:hAnsi="Arial" w:cs="Arial"/>
          <w:i/>
          <w:iCs/>
        </w:rPr>
        <w:t xml:space="preserve">Brazil </w:t>
      </w:r>
    </w:p>
    <w:p w:rsidR="00000000" w:rsidRDefault="003E5AFF">
      <w:pPr>
        <w:pStyle w:val="NormalWeb"/>
        <w:spacing w:before="120" w:beforeAutospacing="0" w:after="0" w:afterAutospacing="0"/>
      </w:pPr>
      <w:r>
        <w:rPr>
          <w:rFonts w:ascii="Arial" w:hAnsi="Arial" w:cs="Arial"/>
        </w:rPr>
        <w:t xml:space="preserve">We currently use three distribution centers for our GBarbosa stores in the </w:t>
      </w:r>
      <w:r>
        <w:rPr>
          <w:rFonts w:ascii="Arial" w:hAnsi="Arial" w:cs="Arial"/>
        </w:rPr>
        <w:t>north east of Brazil, totaling approximately 51,000 square meters. They are located in Aracaju (32,000 square meters), Salvador da Bahia (11,000 square meters) and Fortaleza (8,000 square meters). Our distribution centers accounted for approximately 63% of</w:t>
      </w:r>
      <w:r>
        <w:rPr>
          <w:rFonts w:ascii="Arial" w:hAnsi="Arial" w:cs="Arial"/>
        </w:rPr>
        <w:t xml:space="preserve"> our sales. The GBarbosa distribution centers run a dry and fresh goods stock operation. In 2011, we increased cross-docking operations in order to manage sales growth and improve productivity. We currently expect to increase our operations in Salvador da </w:t>
      </w:r>
      <w:r>
        <w:rPr>
          <w:rFonts w:ascii="Arial" w:hAnsi="Arial" w:cs="Arial"/>
        </w:rPr>
        <w:t>Bahia in 2012, in order to satisfy the growing demand in Bahia and reduce transportation costs. Deliveries to GBarbosa stores are made primarily through external carriers although we do own a small fleet of delivery vehicles. Home deliveries are handled en</w:t>
      </w:r>
      <w:r>
        <w:rPr>
          <w:rFonts w:ascii="Arial" w:hAnsi="Arial" w:cs="Arial"/>
        </w:rPr>
        <w:t xml:space="preserve">tirely by external carriers. </w:t>
      </w:r>
    </w:p>
    <w:p w:rsidR="00000000" w:rsidRDefault="003E5AFF">
      <w:pPr>
        <w:pStyle w:val="NormalWeb"/>
        <w:spacing w:before="120" w:beforeAutospacing="0" w:after="0" w:afterAutospacing="0"/>
      </w:pPr>
      <w:r>
        <w:rPr>
          <w:rFonts w:ascii="Arial" w:hAnsi="Arial" w:cs="Arial"/>
        </w:rPr>
        <w:t>Bretas stores in central Brazil are supported by two distribution centers, totaling approximately 40,000 square meters. They are located in Belo Horizonte (30,000 square meters) and Goiania (10,000 square meters). Both distrib</w:t>
      </w:r>
      <w:r>
        <w:rPr>
          <w:rFonts w:ascii="Arial" w:hAnsi="Arial" w:cs="Arial"/>
        </w:rPr>
        <w:t>ution centers store dry goods, vegetables and fresh goods operations. Both distribution centers have staple stock (storage) and cross-docking capabilities, which enable goods received at the distribution center to be stocked and distributed at a later time</w:t>
      </w:r>
      <w:r>
        <w:rPr>
          <w:rFonts w:ascii="Arial" w:hAnsi="Arial" w:cs="Arial"/>
        </w:rPr>
        <w:t xml:space="preserve"> or distributed immediately to our stores. Currently the distribution centers include electronic goods for store and home delivery. Products stored in our distribution centers accounted for approximately 60% of our sales. Distribution to stores and home de</w:t>
      </w:r>
      <w:r>
        <w:rPr>
          <w:rFonts w:ascii="Arial" w:hAnsi="Arial" w:cs="Arial"/>
        </w:rPr>
        <w:t xml:space="preserve">liveries are made entirely by external carriers. </w:t>
      </w:r>
    </w:p>
    <w:p w:rsidR="00000000" w:rsidRDefault="003E5AFF">
      <w:pPr>
        <w:pStyle w:val="NormalWeb"/>
        <w:spacing w:before="120" w:beforeAutospacing="0" w:after="0" w:afterAutospacing="0"/>
      </w:pPr>
      <w:r>
        <w:rPr>
          <w:rFonts w:ascii="Arial" w:hAnsi="Arial" w:cs="Arial"/>
        </w:rPr>
        <w:t>Perini stores in Salvador da Bahia also have their own distribution center located in one store, because of their smaller scale and the higher-quality fresh products offered, Perini stores also receive dire</w:t>
      </w:r>
      <w:r>
        <w:rPr>
          <w:rFonts w:ascii="Arial" w:hAnsi="Arial" w:cs="Arial"/>
        </w:rPr>
        <w:t xml:space="preserve">ct deliveries from suppliers. Perini does own a small fleet of vehicles for distribution to its stores. </w:t>
      </w:r>
    </w:p>
    <w:p w:rsidR="00000000" w:rsidRDefault="003E5AFF">
      <w:pPr>
        <w:pStyle w:val="NormalWeb"/>
        <w:spacing w:before="120" w:beforeAutospacing="0" w:after="0" w:afterAutospacing="0"/>
      </w:pPr>
      <w:r>
        <w:rPr>
          <w:rFonts w:ascii="Arial" w:hAnsi="Arial" w:cs="Arial"/>
        </w:rPr>
        <w:t>Mercantil Rodrigues are stores with high rotation food goods, such as fresh fruits and vegetables, meat and poultry, dairy and others. These stores rec</w:t>
      </w:r>
      <w:r>
        <w:rPr>
          <w:rFonts w:ascii="Arial" w:hAnsi="Arial" w:cs="Arial"/>
        </w:rPr>
        <w:t xml:space="preserve">eive direct deliveries from suppliers. </w:t>
      </w:r>
    </w:p>
    <w:p w:rsidR="00000000" w:rsidRDefault="003E5AFF">
      <w:pPr>
        <w:pStyle w:val="NormalWeb"/>
        <w:spacing w:before="120" w:beforeAutospacing="0" w:after="0" w:afterAutospacing="0"/>
      </w:pPr>
      <w:r>
        <w:rPr>
          <w:rFonts w:ascii="Arial" w:hAnsi="Arial" w:cs="Arial"/>
        </w:rPr>
        <w:t xml:space="preserve">Our 31 Prezunic stores in the city of Rio de Janeiro were served by a rented distribution center. This distribution center is </w:t>
      </w:r>
      <w:r>
        <w:rPr>
          <w:rFonts w:ascii="Arial" w:hAnsi="Arial" w:cs="Arial"/>
        </w:rPr>
        <w:t>located in that city_s center, has an area of 45,000 square meters and has both stock and cross-docking operations. It has facilities for dry goods, chilled goods and frozen goods. The distribution to stores are made by a standardized fleet of 21 trucks, w</w:t>
      </w:r>
      <w:r>
        <w:rPr>
          <w:rFonts w:ascii="Arial" w:hAnsi="Arial" w:cs="Arial"/>
        </w:rPr>
        <w:t xml:space="preserve">hich we own, with a complete GPS monitoring system. </w:t>
      </w:r>
    </w:p>
    <w:p w:rsidR="00000000" w:rsidRDefault="003E5AFF">
      <w:pPr>
        <w:pStyle w:val="NormalWeb"/>
        <w:spacing w:before="240" w:beforeAutospacing="0" w:after="0" w:afterAutospacing="0"/>
      </w:pPr>
      <w:r>
        <w:rPr>
          <w:rFonts w:ascii="Arial" w:hAnsi="Arial" w:cs="Arial"/>
          <w:i/>
          <w:iCs/>
        </w:rPr>
        <w:t xml:space="preserve">Peru </w:t>
      </w:r>
    </w:p>
    <w:p w:rsidR="00000000" w:rsidRDefault="003E5AFF">
      <w:pPr>
        <w:pStyle w:val="NormalWeb"/>
        <w:spacing w:before="120" w:beforeAutospacing="0" w:after="0" w:afterAutospacing="0"/>
      </w:pPr>
      <w:r>
        <w:rPr>
          <w:rFonts w:ascii="Arial" w:hAnsi="Arial" w:cs="Arial"/>
        </w:rPr>
        <w:t>We operate two distribution centers in Lima, which supports both Wong and Metro supermarkets and hypermarket stores. One is a 23,000 square meter site which we own and use for cross-docking of fres</w:t>
      </w:r>
      <w:r>
        <w:rPr>
          <w:rFonts w:ascii="Arial" w:hAnsi="Arial" w:cs="Arial"/>
        </w:rPr>
        <w:t xml:space="preserve">h vegetables, meat and food products. The other is a 23,000 square meter rented site used for non-food, textile and imported goods. This second site is also the base for our home delivery of home appliances and other large items. </w:t>
      </w:r>
    </w:p>
    <w:p w:rsidR="00000000" w:rsidRDefault="003E5AFF">
      <w:pPr>
        <w:pStyle w:val="NormalWeb"/>
        <w:spacing w:before="120" w:beforeAutospacing="0" w:after="0" w:afterAutospacing="0"/>
      </w:pPr>
      <w:r>
        <w:rPr>
          <w:rFonts w:ascii="Arial" w:hAnsi="Arial" w:cs="Arial"/>
        </w:rPr>
        <w:t xml:space="preserve">Centralized distribution </w:t>
      </w:r>
      <w:r>
        <w:rPr>
          <w:rFonts w:ascii="Arial" w:hAnsi="Arial" w:cs="Arial"/>
        </w:rPr>
        <w:t xml:space="preserve">from the Lima distribution centers accounts for approximately 67% of our Peru sales.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- 212 - </w:t>
      </w:r>
    </w:p>
    <w:p w:rsidR="00000000" w:rsidRDefault="003E5AFF">
      <w:pPr>
        <w:rPr>
          <w:rFonts w:eastAsia="Times New Roman" w:cs="Times New Roman"/>
        </w:rPr>
      </w:pPr>
      <w:r>
        <w:rPr>
          <w:rFonts w:eastAsia="Times New Roman" w:cs="Times New Roman"/>
        </w:rPr>
        <w:pict>
          <v:rect id="_x0000_i1249" style="width:441.9pt;height:3pt" o:hralign="center" o:hrstd="t" o:hrnoshade="t" o:hr="t" fillcolor="#999" stroked="f"/>
        </w:pict>
      </w:r>
    </w:p>
    <w:p w:rsidR="00000000" w:rsidRDefault="003E5AFF">
      <w:pPr>
        <w:pStyle w:val="Heading5"/>
        <w:rPr>
          <w:rFonts w:eastAsia="Times New Roman" w:cs="Times New Roman"/>
        </w:rPr>
      </w:pPr>
      <w:hyperlink r:id="rId26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Cross-docking of national groceries and fresh-products represents approximately 78% of centralized distribution while </w:t>
      </w:r>
      <w:r>
        <w:rPr>
          <w:rFonts w:ascii="Arial" w:hAnsi="Arial" w:cs="Arial"/>
        </w:rPr>
        <w:t>a regular in-stock operation is used for distribution of imported products and a select category of national products. We use a SAP-based warehouse management system in these distribution centers . Deliveries are made using external carriers and we negotia</w:t>
      </w:r>
      <w:r>
        <w:rPr>
          <w:rFonts w:ascii="Arial" w:hAnsi="Arial" w:cs="Arial"/>
        </w:rPr>
        <w:t xml:space="preserve">te delivery contracts periodically. </w:t>
      </w:r>
    </w:p>
    <w:p w:rsidR="00000000" w:rsidRDefault="003E5AFF">
      <w:pPr>
        <w:pStyle w:val="NormalWeb"/>
        <w:spacing w:before="240" w:beforeAutospacing="0" w:after="0" w:afterAutospacing="0"/>
      </w:pPr>
      <w:r>
        <w:rPr>
          <w:rFonts w:ascii="Arial" w:hAnsi="Arial" w:cs="Arial"/>
          <w:b/>
          <w:bCs/>
          <w:i/>
          <w:iCs/>
        </w:rPr>
        <w:t xml:space="preserve">Department stores </w:t>
      </w:r>
    </w:p>
    <w:p w:rsidR="00000000" w:rsidRDefault="003E5AFF">
      <w:pPr>
        <w:pStyle w:val="NormalWeb"/>
        <w:spacing w:before="120" w:beforeAutospacing="0" w:after="0" w:afterAutospacing="0"/>
      </w:pPr>
      <w:r>
        <w:rPr>
          <w:rFonts w:ascii="Arial" w:hAnsi="Arial" w:cs="Arial"/>
        </w:rPr>
        <w:t xml:space="preserve">We operate one 70,000 square meter distribution center located in Santiago that services all our Paris department stores in Chile. Centralized distribution accounts for nearly all of our Paris sales. </w:t>
      </w:r>
      <w:r>
        <w:rPr>
          <w:rFonts w:ascii="Arial" w:hAnsi="Arial" w:cs="Arial"/>
        </w:rPr>
        <w:t>We use a warehouse management system, RF technology and an automated sorter for cases and certain textiles. In addition, we have another operation in the same distribution center for internet sales and offer special value-added services (packing, gift wrap</w:t>
      </w:r>
      <w:r>
        <w:rPr>
          <w:rFonts w:ascii="Arial" w:hAnsi="Arial" w:cs="Arial"/>
        </w:rPr>
        <w:t xml:space="preserve">ping and gift cards and others) and deliver the products directly to our customers_ homes. </w:t>
      </w:r>
    </w:p>
    <w:p w:rsidR="00000000" w:rsidRDefault="003E5AFF">
      <w:pPr>
        <w:pStyle w:val="NormalWeb"/>
        <w:spacing w:before="120" w:beforeAutospacing="0" w:after="0" w:afterAutospacing="0"/>
      </w:pPr>
      <w:r>
        <w:rPr>
          <w:rFonts w:ascii="Arial" w:hAnsi="Arial" w:cs="Arial"/>
        </w:rPr>
        <w:t>Deliveries are made using external carriers. We have different contracts for each distribution zone and type of service required. Contracts are generally negotiated</w:t>
      </w:r>
      <w:r>
        <w:rPr>
          <w:rFonts w:ascii="Arial" w:hAnsi="Arial" w:cs="Arial"/>
        </w:rPr>
        <w:t xml:space="preserve"> on a two to three year basis. </w:t>
      </w:r>
    </w:p>
    <w:p w:rsidR="00000000" w:rsidRDefault="003E5AFF">
      <w:pPr>
        <w:pStyle w:val="NormalWeb"/>
        <w:spacing w:before="120" w:beforeAutospacing="0" w:after="0" w:afterAutospacing="0"/>
      </w:pPr>
      <w:r>
        <w:rPr>
          <w:rFonts w:ascii="Arial" w:hAnsi="Arial" w:cs="Arial"/>
        </w:rPr>
        <w:t>For the new Johnson_s department store chain, we operate a 22,000 square meter rented distribution center located in Santiago. Centralized distribution accounts for all sales. The distribution is made by third-party contract</w:t>
      </w:r>
      <w:r>
        <w:rPr>
          <w:rFonts w:ascii="Arial" w:hAnsi="Arial" w:cs="Arial"/>
        </w:rPr>
        <w:t xml:space="preserve">ors, and there are first initiatives underway to share home delivery with Paris stores. </w:t>
      </w:r>
    </w:p>
    <w:p w:rsidR="00000000" w:rsidRDefault="003E5AFF">
      <w:pPr>
        <w:pStyle w:val="NormalWeb"/>
        <w:spacing w:before="240" w:beforeAutospacing="0" w:after="0" w:afterAutospacing="0"/>
      </w:pPr>
      <w:r>
        <w:rPr>
          <w:rFonts w:ascii="Arial" w:hAnsi="Arial" w:cs="Arial"/>
          <w:b/>
          <w:bCs/>
          <w:i/>
          <w:iCs/>
        </w:rPr>
        <w:t xml:space="preserve">Home improvement stores </w:t>
      </w:r>
    </w:p>
    <w:p w:rsidR="00000000" w:rsidRDefault="003E5AFF">
      <w:pPr>
        <w:pStyle w:val="NormalWeb"/>
        <w:spacing w:before="120" w:beforeAutospacing="0" w:after="0" w:afterAutospacing="0"/>
      </w:pPr>
      <w:r>
        <w:rPr>
          <w:rFonts w:ascii="Arial" w:hAnsi="Arial" w:cs="Arial"/>
          <w:i/>
          <w:iCs/>
        </w:rPr>
        <w:t xml:space="preserve">Chile </w:t>
      </w:r>
    </w:p>
    <w:p w:rsidR="00000000" w:rsidRDefault="003E5AFF">
      <w:pPr>
        <w:pStyle w:val="NormalWeb"/>
        <w:spacing w:before="120" w:beforeAutospacing="0" w:after="0" w:afterAutospacing="0"/>
      </w:pPr>
      <w:r>
        <w:rPr>
          <w:rFonts w:ascii="Arial" w:hAnsi="Arial" w:cs="Arial"/>
        </w:rPr>
        <w:t>Our 80,000 square meters distribution center is located in Santiago and accounted for approximately 60.0% of our Easy sales in 2011. Ce</w:t>
      </w:r>
      <w:r>
        <w:rPr>
          <w:rFonts w:ascii="Arial" w:hAnsi="Arial" w:cs="Arial"/>
        </w:rPr>
        <w:t>ntralized distribution is mainly supported by a cross-docking system that operates with more than 450 vendors and accounts for two thirds of the distribution operations, while the rest arises from imported stored goods, which represented approximately 18.0</w:t>
      </w:r>
      <w:r>
        <w:rPr>
          <w:rFonts w:ascii="Arial" w:hAnsi="Arial" w:cs="Arial"/>
        </w:rPr>
        <w:t xml:space="preserve">% of Easy sales in 2011. </w:t>
      </w:r>
    </w:p>
    <w:p w:rsidR="00000000" w:rsidRDefault="003E5AFF">
      <w:pPr>
        <w:pStyle w:val="NormalWeb"/>
        <w:spacing w:before="120" w:beforeAutospacing="0" w:after="0" w:afterAutospacing="0"/>
      </w:pPr>
      <w:r>
        <w:rPr>
          <w:rFonts w:ascii="Arial" w:hAnsi="Arial" w:cs="Arial"/>
        </w:rPr>
        <w:t>Transportation is handled by external carriers. Home delivery transportation contracts are signed for a one- to two-year period. Distribution center-to-store transportation contracts are signed for four years because of the high i</w:t>
      </w:r>
      <w:r>
        <w:rPr>
          <w:rFonts w:ascii="Arial" w:hAnsi="Arial" w:cs="Arial"/>
        </w:rPr>
        <w:t xml:space="preserve">nvestment required to customize trucks for optimal load capacity. Special two-floor trucks with side load compartments are designed to transport irregular-shape products that are commonly sold in our Easy stores. </w:t>
      </w:r>
    </w:p>
    <w:p w:rsidR="00000000" w:rsidRDefault="003E5AFF">
      <w:pPr>
        <w:pStyle w:val="NormalWeb"/>
        <w:spacing w:before="120" w:beforeAutospacing="0" w:after="0" w:afterAutospacing="0"/>
      </w:pPr>
      <w:r>
        <w:rPr>
          <w:rFonts w:ascii="Arial" w:hAnsi="Arial" w:cs="Arial"/>
        </w:rPr>
        <w:t xml:space="preserve">An automatic replenishment system manages </w:t>
      </w:r>
      <w:r>
        <w:rPr>
          <w:rFonts w:ascii="Arial" w:hAnsi="Arial" w:cs="Arial"/>
        </w:rPr>
        <w:t xml:space="preserve">the stock levels in stores in order to maximize service level and optimize inventory turnover. </w:t>
      </w:r>
    </w:p>
    <w:p w:rsidR="00000000" w:rsidRDefault="003E5AFF">
      <w:pPr>
        <w:pStyle w:val="NormalWeb"/>
        <w:spacing w:before="240" w:beforeAutospacing="0" w:after="0" w:afterAutospacing="0"/>
      </w:pPr>
      <w:r>
        <w:rPr>
          <w:rFonts w:ascii="Arial" w:hAnsi="Arial" w:cs="Arial"/>
          <w:i/>
          <w:iCs/>
        </w:rPr>
        <w:t xml:space="preserve">Argentina </w:t>
      </w:r>
    </w:p>
    <w:p w:rsidR="00000000" w:rsidRDefault="003E5AFF">
      <w:pPr>
        <w:pStyle w:val="NormalWeb"/>
        <w:spacing w:before="120" w:beforeAutospacing="0" w:after="0" w:afterAutospacing="0"/>
      </w:pPr>
      <w:r>
        <w:rPr>
          <w:rFonts w:ascii="Arial" w:hAnsi="Arial" w:cs="Arial"/>
        </w:rPr>
        <w:t>We operate three distribution centers located in Buenos Aires, totaling 59.000 square meters, which accounted for 42.0% of our Easy sales in Argentin</w:t>
      </w:r>
      <w:r>
        <w:rPr>
          <w:rFonts w:ascii="Arial" w:hAnsi="Arial" w:cs="Arial"/>
        </w:rPr>
        <w:t xml:space="preserve">a in 2011. Easy Argentina also relies on direct deliveries from suppliers to stores, which accounted for 58.0% of our Easy sales in 2011. </w:t>
      </w:r>
    </w:p>
    <w:p w:rsidR="00000000" w:rsidRDefault="003E5AFF">
      <w:pPr>
        <w:pStyle w:val="NormalWeb"/>
        <w:spacing w:before="120" w:beforeAutospacing="0" w:after="0" w:afterAutospacing="0"/>
      </w:pPr>
      <w:r>
        <w:rPr>
          <w:rFonts w:ascii="Arial" w:hAnsi="Arial" w:cs="Arial"/>
        </w:rPr>
        <w:t>Centralized distribution includes a regular warehouse operation from stocked merchandise (imported and domestic goods</w:t>
      </w:r>
      <w:r>
        <w:rPr>
          <w:rFonts w:ascii="Arial" w:hAnsi="Arial" w:cs="Arial"/>
        </w:rPr>
        <w:t>) which represented approximately 20.0% of sales in 2011, and a growing cross-docking operation with more than 600 vendors that accounted for approximately 22.0% of sales in 2011. There is also a home delivery operation which accounted for approximately 15</w:t>
      </w:r>
      <w:r>
        <w:rPr>
          <w:rFonts w:ascii="Arial" w:hAnsi="Arial" w:cs="Arial"/>
        </w:rPr>
        <w:t xml:space="preserve">.0% of sales in 2011.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- 213 - </w:t>
      </w:r>
    </w:p>
    <w:p w:rsidR="00000000" w:rsidRDefault="003E5AFF">
      <w:pPr>
        <w:rPr>
          <w:rFonts w:eastAsia="Times New Roman" w:cs="Times New Roman"/>
        </w:rPr>
      </w:pPr>
      <w:r>
        <w:rPr>
          <w:rFonts w:eastAsia="Times New Roman" w:cs="Times New Roman"/>
        </w:rPr>
        <w:pict>
          <v:rect id="_x0000_i1250" style="width:441.9pt;height:3pt" o:hralign="center" o:hrstd="t" o:hrnoshade="t" o:hr="t" fillcolor="#999" stroked="f"/>
        </w:pict>
      </w:r>
    </w:p>
    <w:p w:rsidR="00000000" w:rsidRDefault="003E5AFF">
      <w:pPr>
        <w:pStyle w:val="Heading5"/>
        <w:rPr>
          <w:rFonts w:eastAsia="Times New Roman" w:cs="Times New Roman"/>
        </w:rPr>
      </w:pPr>
      <w:hyperlink r:id="rId26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Transportation is handled by external carriers. Distribution center-to-store transportation and home delivery transportation contra</w:t>
      </w:r>
      <w:r>
        <w:rPr>
          <w:rFonts w:ascii="Arial" w:hAnsi="Arial" w:cs="Arial"/>
        </w:rPr>
        <w:t xml:space="preserve">cts are negotiated every two years. </w:t>
      </w:r>
    </w:p>
    <w:p w:rsidR="00000000" w:rsidRDefault="003E5AFF">
      <w:pPr>
        <w:pStyle w:val="NormalWeb"/>
        <w:spacing w:before="240" w:beforeAutospacing="0" w:after="0" w:afterAutospacing="0"/>
      </w:pPr>
      <w:r>
        <w:rPr>
          <w:rFonts w:ascii="Arial" w:hAnsi="Arial" w:cs="Arial"/>
          <w:i/>
          <w:iCs/>
        </w:rPr>
        <w:t xml:space="preserve">Colombia </w:t>
      </w:r>
    </w:p>
    <w:p w:rsidR="00000000" w:rsidRDefault="003E5AFF">
      <w:pPr>
        <w:pStyle w:val="NormalWeb"/>
        <w:spacing w:before="120" w:beforeAutospacing="0" w:after="0" w:afterAutospacing="0"/>
      </w:pPr>
      <w:r>
        <w:rPr>
          <w:rFonts w:ascii="Arial" w:hAnsi="Arial" w:cs="Arial"/>
        </w:rPr>
        <w:t xml:space="preserve">Due to the small size of our operations in Colombia, distribution and deliveries are handled by a third-party. </w:t>
      </w:r>
    </w:p>
    <w:p w:rsidR="00000000" w:rsidRDefault="003E5AFF">
      <w:pPr>
        <w:pStyle w:val="NormalWeb"/>
        <w:spacing w:before="240" w:beforeAutospacing="0" w:after="0" w:afterAutospacing="0"/>
      </w:pPr>
      <w:r>
        <w:rPr>
          <w:rFonts w:ascii="Arial" w:hAnsi="Arial" w:cs="Arial"/>
          <w:b/>
          <w:bCs/>
          <w:sz w:val="24"/>
          <w:szCs w:val="24"/>
        </w:rPr>
        <w:t xml:space="preserve">Marketing </w:t>
      </w:r>
    </w:p>
    <w:p w:rsidR="00000000" w:rsidRDefault="003E5AFF">
      <w:pPr>
        <w:pStyle w:val="NormalWeb"/>
        <w:spacing w:before="120" w:beforeAutospacing="0" w:after="0" w:afterAutospacing="0"/>
      </w:pPr>
      <w:r>
        <w:rPr>
          <w:rFonts w:ascii="Arial" w:hAnsi="Arial" w:cs="Arial"/>
        </w:rPr>
        <w:t>During 2011 we have worked to further develop our Cencosud brand, with two main object</w:t>
      </w:r>
      <w:r>
        <w:rPr>
          <w:rFonts w:ascii="Arial" w:hAnsi="Arial" w:cs="Arial"/>
        </w:rPr>
        <w:t>ives: (i) consolidating Cencosud as a strong brand, widely recognized across socioeconomic groups and across regions, and (ii) creating a family of brands recognized and valued by our customers, with the endorsement of Cencosud as a seal of quality and rel</w:t>
      </w:r>
      <w:r>
        <w:rPr>
          <w:rFonts w:ascii="Arial" w:hAnsi="Arial" w:cs="Arial"/>
        </w:rPr>
        <w:t xml:space="preserve">iability. </w:t>
      </w:r>
    </w:p>
    <w:p w:rsidR="00000000" w:rsidRDefault="003E5AFF">
      <w:pPr>
        <w:pStyle w:val="NormalWeb"/>
        <w:spacing w:before="120" w:beforeAutospacing="0" w:after="0" w:afterAutospacing="0"/>
      </w:pPr>
      <w:r>
        <w:rPr>
          <w:rFonts w:ascii="Arial" w:hAnsi="Arial" w:cs="Arial"/>
        </w:rPr>
        <w:t xml:space="preserve">To achieve these objectives, we updated and redesigned our logos in order to reflect the familiarity between our brands and their association with a retail leader in Latin America. </w:t>
      </w:r>
    </w:p>
    <w:p w:rsidR="00000000" w:rsidRDefault="003E5AFF">
      <w:pPr>
        <w:pStyle w:val="NormalWeb"/>
        <w:spacing w:before="120" w:beforeAutospacing="0" w:after="0" w:afterAutospacing="0"/>
      </w:pPr>
      <w:r>
        <w:rPr>
          <w:rFonts w:ascii="Arial" w:hAnsi="Arial" w:cs="Arial"/>
        </w:rPr>
        <w:t>Our aim is to develop strong brands prepared for competition wi</w:t>
      </w:r>
      <w:r>
        <w:rPr>
          <w:rFonts w:ascii="Arial" w:hAnsi="Arial" w:cs="Arial"/>
        </w:rPr>
        <w:t>th global brands, but with an appeal to local consumers. For this, we have an internal consumer research unit that allows us to better understand our consumers_ behaviors, attitudes, demographics and trends, providing us with important and valuable informa</w:t>
      </w:r>
      <w:r>
        <w:rPr>
          <w:rFonts w:ascii="Arial" w:hAnsi="Arial" w:cs="Arial"/>
        </w:rPr>
        <w:t xml:space="preserve">tion necessary to adjust our marketing strategy in each of our business units in all the countries in which we operate. </w:t>
      </w:r>
    </w:p>
    <w:p w:rsidR="00000000" w:rsidRDefault="003E5AFF">
      <w:pPr>
        <w:pStyle w:val="NormalWeb"/>
        <w:spacing w:before="240" w:beforeAutospacing="0" w:after="0" w:afterAutospacing="0"/>
      </w:pPr>
      <w:r>
        <w:rPr>
          <w:rFonts w:ascii="Arial" w:hAnsi="Arial" w:cs="Arial"/>
          <w:b/>
          <w:bCs/>
          <w:i/>
          <w:iCs/>
        </w:rPr>
        <w:t xml:space="preserve">Supermarkets </w:t>
      </w:r>
    </w:p>
    <w:p w:rsidR="00000000" w:rsidRDefault="003E5AFF">
      <w:pPr>
        <w:pStyle w:val="NormalWeb"/>
        <w:spacing w:before="120" w:beforeAutospacing="0" w:after="0" w:afterAutospacing="0"/>
      </w:pPr>
      <w:r>
        <w:rPr>
          <w:rFonts w:ascii="Arial" w:hAnsi="Arial" w:cs="Arial"/>
          <w:i/>
          <w:iCs/>
        </w:rPr>
        <w:t xml:space="preserve">Chile </w:t>
      </w:r>
    </w:p>
    <w:p w:rsidR="00000000" w:rsidRDefault="003E5AFF">
      <w:pPr>
        <w:pStyle w:val="NormalWeb"/>
        <w:spacing w:before="120" w:beforeAutospacing="0" w:after="0" w:afterAutospacing="0"/>
      </w:pPr>
      <w:r>
        <w:rPr>
          <w:rFonts w:ascii="Arial" w:hAnsi="Arial" w:cs="Arial"/>
        </w:rPr>
        <w:t>Consistent with our business strategy, our marketing plan is directed at projecting our image as a hypermarket and</w:t>
      </w:r>
      <w:r>
        <w:rPr>
          <w:rFonts w:ascii="Arial" w:hAnsi="Arial" w:cs="Arial"/>
        </w:rPr>
        <w:t xml:space="preserve"> supermarket chain which offers value through a combination of high-quality service and competitive prices. In Chile, Jumbo is one of the most valued brands, mainly for its association with quality, variety and service. Our principal marketing themes for o</w:t>
      </w:r>
      <w:r>
        <w:rPr>
          <w:rFonts w:ascii="Arial" w:hAnsi="Arial" w:cs="Arial"/>
        </w:rPr>
        <w:t>ur Jumbo hypermarkets are _</w:t>
      </w:r>
      <w:r>
        <w:rPr>
          <w:rFonts w:ascii="Arial" w:hAnsi="Arial" w:cs="Arial"/>
          <w:i/>
          <w:iCs/>
        </w:rPr>
        <w:t>Jumbo te da m_s</w:t>
      </w:r>
      <w:r>
        <w:rPr>
          <w:rFonts w:ascii="Arial" w:hAnsi="Arial" w:cs="Arial"/>
        </w:rPr>
        <w:t>_ in Chile and Argentina (_</w:t>
      </w:r>
      <w:r>
        <w:rPr>
          <w:rFonts w:ascii="Arial" w:hAnsi="Arial" w:cs="Arial"/>
          <w:i/>
          <w:iCs/>
        </w:rPr>
        <w:t>Jumbo gives you more</w:t>
      </w:r>
      <w:r>
        <w:rPr>
          <w:rFonts w:ascii="Arial" w:hAnsi="Arial" w:cs="Arial"/>
        </w:rPr>
        <w:t>_). Santa Isabel is a supermarket based on the concept of familiarity and closeness with our customers. Our principal marketing theme for our Santa Isabel supermarkets</w:t>
      </w:r>
      <w:r>
        <w:rPr>
          <w:rFonts w:ascii="Arial" w:hAnsi="Arial" w:cs="Arial"/>
        </w:rPr>
        <w:t xml:space="preserve"> is _</w:t>
      </w:r>
      <w:r>
        <w:rPr>
          <w:rFonts w:ascii="Arial" w:hAnsi="Arial" w:cs="Arial"/>
          <w:i/>
          <w:iCs/>
        </w:rPr>
        <w:t>Santa Isabel te Conoce</w:t>
      </w:r>
      <w:r>
        <w:rPr>
          <w:rFonts w:ascii="Arial" w:hAnsi="Arial" w:cs="Arial"/>
        </w:rPr>
        <w:t>_ (_</w:t>
      </w:r>
      <w:r>
        <w:rPr>
          <w:rFonts w:ascii="Arial" w:hAnsi="Arial" w:cs="Arial"/>
          <w:i/>
          <w:iCs/>
        </w:rPr>
        <w:t>Santa Isabel knows you</w:t>
      </w:r>
      <w:r>
        <w:rPr>
          <w:rFonts w:ascii="Arial" w:hAnsi="Arial" w:cs="Arial"/>
        </w:rPr>
        <w:t xml:space="preserve">_). </w:t>
      </w:r>
    </w:p>
    <w:p w:rsidR="00000000" w:rsidRDefault="003E5AFF">
      <w:pPr>
        <w:pStyle w:val="NormalWeb"/>
        <w:spacing w:before="120" w:beforeAutospacing="0" w:after="0" w:afterAutospacing="0"/>
      </w:pPr>
      <w:r>
        <w:rPr>
          <w:rFonts w:ascii="Arial" w:hAnsi="Arial" w:cs="Arial"/>
        </w:rPr>
        <w:t xml:space="preserve">We operate separate, marketing programs for our Jumbo hypermarkets and Santa Isabel supermarkets. Our primary advertising outlets, in addition to point-of-sale marketing, are mass marketing, mainly </w:t>
      </w:r>
      <w:r>
        <w:rPr>
          <w:rFonts w:ascii="Arial" w:hAnsi="Arial" w:cs="Arial"/>
        </w:rPr>
        <w:t>television and radio, nationwide and regional press, brochures and magazine-type inserts in major newspapers, and we are investing strongly and steadily in digital marketing, including social networks and email marketing. We receive fees from our Chilean s</w:t>
      </w:r>
      <w:r>
        <w:rPr>
          <w:rFonts w:ascii="Arial" w:hAnsi="Arial" w:cs="Arial"/>
        </w:rPr>
        <w:t xml:space="preserve">uppliers for access to selling space in our hypermarkets and supermarkets and in connection with special promotions and other marketing programs. </w:t>
      </w:r>
    </w:p>
    <w:p w:rsidR="00000000" w:rsidRDefault="003E5AFF">
      <w:pPr>
        <w:pStyle w:val="NormalWeb"/>
        <w:spacing w:before="240" w:beforeAutospacing="0" w:after="0" w:afterAutospacing="0"/>
      </w:pPr>
      <w:r>
        <w:rPr>
          <w:rFonts w:ascii="Arial" w:hAnsi="Arial" w:cs="Arial"/>
          <w:i/>
          <w:iCs/>
        </w:rPr>
        <w:t xml:space="preserve">Argentina </w:t>
      </w:r>
    </w:p>
    <w:p w:rsidR="00000000" w:rsidRDefault="003E5AFF">
      <w:pPr>
        <w:pStyle w:val="NormalWeb"/>
        <w:spacing w:before="120" w:beforeAutospacing="0" w:after="0" w:afterAutospacing="0"/>
      </w:pPr>
      <w:r>
        <w:rPr>
          <w:rFonts w:ascii="Arial" w:hAnsi="Arial" w:cs="Arial"/>
        </w:rPr>
        <w:t>As in Chile, our marketing strategy in Argentina is directed primarily at increasing net sales and</w:t>
      </w:r>
      <w:r>
        <w:rPr>
          <w:rFonts w:ascii="Arial" w:hAnsi="Arial" w:cs="Arial"/>
        </w:rPr>
        <w:t xml:space="preserve"> projecting our image as a hypermarket chain which offers high-quality service and competitive prices. Our marketing efforts for Jumbo and Disco in Argentina are, however, aimed more at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- 214 - </w:t>
      </w:r>
    </w:p>
    <w:p w:rsidR="00000000" w:rsidRDefault="003E5AFF">
      <w:pPr>
        <w:rPr>
          <w:rFonts w:eastAsia="Times New Roman" w:cs="Times New Roman"/>
        </w:rPr>
      </w:pPr>
      <w:r>
        <w:rPr>
          <w:rFonts w:eastAsia="Times New Roman" w:cs="Times New Roman"/>
        </w:rPr>
        <w:pict>
          <v:rect id="_x0000_i1251" style="width:441.9pt;height:3pt" o:hralign="center" o:hrstd="t" o:hrnoshade="t" o:hr="t" fillcolor="#999" stroked="f"/>
        </w:pict>
      </w:r>
    </w:p>
    <w:p w:rsidR="00000000" w:rsidRDefault="003E5AFF">
      <w:pPr>
        <w:pStyle w:val="Heading5"/>
        <w:rPr>
          <w:rFonts w:eastAsia="Times New Roman" w:cs="Times New Roman"/>
        </w:rPr>
      </w:pPr>
      <w:hyperlink r:id="rId26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consumers in the middle and higher income levels. For lower income </w:t>
      </w:r>
      <w:r>
        <w:rPr>
          <w:rFonts w:ascii="Arial" w:hAnsi="Arial" w:cs="Arial"/>
        </w:rPr>
        <w:t xml:space="preserve">levels, we operate Super Vea supermarkets. Located mainly in the provinces, Super Vea supermarkets are focused on the concept of value priced products and, consequently, financial saving to the retail customer. </w:t>
      </w:r>
    </w:p>
    <w:p w:rsidR="00000000" w:rsidRDefault="003E5AFF">
      <w:pPr>
        <w:pStyle w:val="NormalWeb"/>
        <w:spacing w:before="120" w:beforeAutospacing="0" w:after="0" w:afterAutospacing="0"/>
      </w:pPr>
      <w:r>
        <w:rPr>
          <w:rFonts w:ascii="Arial" w:hAnsi="Arial" w:cs="Arial"/>
        </w:rPr>
        <w:t>Our primary advertising outlets in Argentina</w:t>
      </w:r>
      <w:r>
        <w:rPr>
          <w:rFonts w:ascii="Arial" w:hAnsi="Arial" w:cs="Arial"/>
        </w:rPr>
        <w:t>, in addition to point of sale marketing, are mass marketing, mainly television and radio, nationwide and regional press, brochures and magazine-type inserts in major newspapers, and we are investing strongly and steadily in digital marketing, and email ma</w:t>
      </w:r>
      <w:r>
        <w:rPr>
          <w:rFonts w:ascii="Arial" w:hAnsi="Arial" w:cs="Arial"/>
        </w:rPr>
        <w:t xml:space="preserve">rketing. As in Chile, we receive fees from our Argentine suppliers for access to selling space in our Argentine hypermarkets and in connection with special promotions and other marketing programs. </w:t>
      </w:r>
    </w:p>
    <w:p w:rsidR="00000000" w:rsidRDefault="003E5AFF">
      <w:pPr>
        <w:pStyle w:val="NormalWeb"/>
        <w:spacing w:before="240" w:beforeAutospacing="0" w:after="0" w:afterAutospacing="0"/>
      </w:pPr>
      <w:r>
        <w:rPr>
          <w:rFonts w:ascii="Arial" w:hAnsi="Arial" w:cs="Arial"/>
          <w:i/>
          <w:iCs/>
        </w:rPr>
        <w:t xml:space="preserve">Brazil </w:t>
      </w:r>
    </w:p>
    <w:p w:rsidR="00000000" w:rsidRDefault="003E5AFF">
      <w:pPr>
        <w:pStyle w:val="NormalWeb"/>
        <w:spacing w:before="120" w:beforeAutospacing="0" w:after="0" w:afterAutospacing="0"/>
      </w:pPr>
      <w:r>
        <w:rPr>
          <w:rFonts w:ascii="Arial" w:hAnsi="Arial" w:cs="Arial"/>
        </w:rPr>
        <w:t xml:space="preserve">We believe we have a very positive image in the eyes of our clients in the locations we operate, due to our low prices, the high quality of services we offer, and the wide range and superior quality of products. </w:t>
      </w:r>
    </w:p>
    <w:p w:rsidR="00000000" w:rsidRDefault="003E5AFF">
      <w:pPr>
        <w:pStyle w:val="NormalWeb"/>
        <w:spacing w:before="120" w:beforeAutospacing="0" w:after="0" w:afterAutospacing="0"/>
      </w:pPr>
      <w:r>
        <w:rPr>
          <w:rFonts w:ascii="Arial" w:hAnsi="Arial" w:cs="Arial"/>
        </w:rPr>
        <w:t>Our marketing department and external adver</w:t>
      </w:r>
      <w:r>
        <w:rPr>
          <w:rFonts w:ascii="Arial" w:hAnsi="Arial" w:cs="Arial"/>
        </w:rPr>
        <w:t>tising agencies meet on a periodic basis to analyze and develop our marketing strategies, product development and advertising campaigns. As a result, we are able to customize and adjust our marketing strategy to local traditions and ethnical backgrounds, a</w:t>
      </w:r>
      <w:r>
        <w:rPr>
          <w:rFonts w:ascii="Arial" w:hAnsi="Arial" w:cs="Arial"/>
        </w:rPr>
        <w:t xml:space="preserve">dding significant value. Our GBarbosa Brand sponsors traditional Brazilian northeastern celebrations of _Sao Joao_ (St. John_s Day) and _Carnaval_ (summer carnival). </w:t>
      </w:r>
    </w:p>
    <w:p w:rsidR="00000000" w:rsidRDefault="003E5AFF">
      <w:pPr>
        <w:pStyle w:val="NormalWeb"/>
        <w:spacing w:before="120" w:beforeAutospacing="0" w:after="0" w:afterAutospacing="0"/>
      </w:pPr>
      <w:r>
        <w:rPr>
          <w:rFonts w:ascii="Arial" w:hAnsi="Arial" w:cs="Arial"/>
        </w:rPr>
        <w:t>For higher income consumers, we operate Perini supermarkets, offering a wide variety of d</w:t>
      </w:r>
      <w:r>
        <w:rPr>
          <w:rFonts w:ascii="Arial" w:hAnsi="Arial" w:cs="Arial"/>
        </w:rPr>
        <w:t>elicatessen and premium products, and in-store produced food and pastries. Perini communication is mainly direct. Each client segment receives tailored communication, with activities and events of interest. We focus our marketing and advertising efforts on</w:t>
      </w:r>
      <w:r>
        <w:rPr>
          <w:rFonts w:ascii="Arial" w:hAnsi="Arial" w:cs="Arial"/>
        </w:rPr>
        <w:t xml:space="preserve"> regional television advertisements, local press and also on the distribution of promotional flyers in our stores. Since a significant number of our clients are from middle- and low-income segments, and the majority are middle-aged housewives, television a</w:t>
      </w:r>
      <w:r>
        <w:rPr>
          <w:rFonts w:ascii="Arial" w:hAnsi="Arial" w:cs="Arial"/>
        </w:rPr>
        <w:t xml:space="preserve">dvertising is our main marketing tool. </w:t>
      </w:r>
    </w:p>
    <w:p w:rsidR="00000000" w:rsidRDefault="003E5AFF">
      <w:pPr>
        <w:pStyle w:val="NormalWeb"/>
        <w:spacing w:before="120" w:beforeAutospacing="0" w:after="0" w:afterAutospacing="0"/>
      </w:pPr>
      <w:r>
        <w:rPr>
          <w:rFonts w:ascii="Arial" w:hAnsi="Arial" w:cs="Arial"/>
        </w:rPr>
        <w:t xml:space="preserve">We have included Tarjeta GBarbosa in our advertising campaigns, as it is one of the main drivers of our clients_ loyalty. As part of our roll-out of a single </w:t>
      </w:r>
      <w:r>
        <w:rPr>
          <w:rFonts w:ascii="Arial" w:hAnsi="Arial" w:cs="Arial"/>
        </w:rPr>
        <w:t xml:space="preserve">Cencosud brand for our credit cards, we will soon launch _Tarjeta Cencosud,_ which will also facilitate the purchase of more expensive products, such as electronics and home appliances. </w:t>
      </w:r>
    </w:p>
    <w:p w:rsidR="00000000" w:rsidRDefault="003E5AFF">
      <w:pPr>
        <w:pStyle w:val="NormalWeb"/>
        <w:spacing w:before="240" w:beforeAutospacing="0" w:after="0" w:afterAutospacing="0"/>
      </w:pPr>
      <w:r>
        <w:rPr>
          <w:rFonts w:ascii="Arial" w:hAnsi="Arial" w:cs="Arial"/>
          <w:i/>
          <w:iCs/>
        </w:rPr>
        <w:t xml:space="preserve">Peru </w:t>
      </w:r>
    </w:p>
    <w:p w:rsidR="00000000" w:rsidRDefault="003E5AFF">
      <w:pPr>
        <w:pStyle w:val="NormalWeb"/>
        <w:spacing w:before="120" w:beforeAutospacing="0" w:after="0" w:afterAutospacing="0"/>
      </w:pPr>
      <w:r>
        <w:rPr>
          <w:rFonts w:ascii="Arial" w:hAnsi="Arial" w:cs="Arial"/>
        </w:rPr>
        <w:t>Our marketing strategy in Peru is segmented. Our marketing stra</w:t>
      </w:r>
      <w:r>
        <w:rPr>
          <w:rFonts w:ascii="Arial" w:hAnsi="Arial" w:cs="Arial"/>
        </w:rPr>
        <w:t>tegy for our Wong brand, which primarily targets the upper-income consumer, relies heavily on well-known newspapers and sponsors and promotes Peruvian products and festivities such as _El Corso,_ _Evento del Pisco_ and others. Our marketing strategy for th</w:t>
      </w:r>
      <w:r>
        <w:rPr>
          <w:rFonts w:ascii="Arial" w:hAnsi="Arial" w:cs="Arial"/>
        </w:rPr>
        <w:t>e Metro brand relies more on mass media, mainly television, which allows us to broadly communicate our offers and value proposition to middle-income families, a growing segment in the Peruvian market. As in Chile, we receive fees from our Peruvian supplier</w:t>
      </w:r>
      <w:r>
        <w:rPr>
          <w:rFonts w:ascii="Arial" w:hAnsi="Arial" w:cs="Arial"/>
        </w:rPr>
        <w:t xml:space="preserve">s for access to selling space in our Peruvian stores and in connection with special promotions and other marketing programs.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- 215 - </w:t>
      </w:r>
    </w:p>
    <w:p w:rsidR="00000000" w:rsidRDefault="003E5AFF">
      <w:pPr>
        <w:rPr>
          <w:rFonts w:eastAsia="Times New Roman" w:cs="Times New Roman"/>
        </w:rPr>
      </w:pPr>
      <w:r>
        <w:rPr>
          <w:rFonts w:eastAsia="Times New Roman" w:cs="Times New Roman"/>
        </w:rPr>
        <w:pict>
          <v:rect id="_x0000_i1252" style="width:441.9pt;height:3pt" o:hralign="center" o:hrstd="t" o:hrnoshade="t" o:hr="t" fillcolor="#999" stroked="f"/>
        </w:pict>
      </w:r>
    </w:p>
    <w:p w:rsidR="00000000" w:rsidRDefault="003E5AFF">
      <w:pPr>
        <w:pStyle w:val="Heading5"/>
        <w:rPr>
          <w:rFonts w:eastAsia="Times New Roman" w:cs="Times New Roman"/>
        </w:rPr>
      </w:pPr>
      <w:hyperlink r:id="rId26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Home improvement stores </w:t>
      </w:r>
    </w:p>
    <w:p w:rsidR="00000000" w:rsidRDefault="003E5AFF">
      <w:pPr>
        <w:pStyle w:val="NormalWeb"/>
        <w:spacing w:before="120" w:beforeAutospacing="0" w:after="0" w:afterAutospacing="0"/>
      </w:pPr>
      <w:r>
        <w:rPr>
          <w:rFonts w:ascii="Arial" w:hAnsi="Arial" w:cs="Arial"/>
          <w:i/>
          <w:iCs/>
        </w:rPr>
        <w:t xml:space="preserve">Chile </w:t>
      </w:r>
    </w:p>
    <w:p w:rsidR="00000000" w:rsidRDefault="003E5AFF">
      <w:pPr>
        <w:pStyle w:val="NormalWeb"/>
        <w:spacing w:before="120" w:beforeAutospacing="0" w:after="0" w:afterAutospacing="0"/>
      </w:pPr>
      <w:r>
        <w:rPr>
          <w:rFonts w:ascii="Arial" w:hAnsi="Arial" w:cs="Arial"/>
        </w:rPr>
        <w:t xml:space="preserve">Our home improvement marketing efforts are directed at projecting our image as provider of everything </w:t>
      </w:r>
      <w:r>
        <w:rPr>
          <w:rFonts w:ascii="Arial" w:hAnsi="Arial" w:cs="Arial"/>
        </w:rPr>
        <w:t>necessary for small to large construction projects under one roof to the general population, including professional contractors and homeowners. Our marketing strategy reinforces our commitment to offer the best solutions for our customers at the best price</w:t>
      </w:r>
      <w:r>
        <w:rPr>
          <w:rFonts w:ascii="Arial" w:hAnsi="Arial" w:cs="Arial"/>
        </w:rPr>
        <w:t>s. Our marketing strategy relies heavily on mass media and recently, but with growing importance, on digital media. Consistent with our policy of customer satisfaction, we guaranty the lowest price in the market and accept returned products if the client i</w:t>
      </w:r>
      <w:r>
        <w:rPr>
          <w:rFonts w:ascii="Arial" w:hAnsi="Arial" w:cs="Arial"/>
        </w:rPr>
        <w:t xml:space="preserve">s not satisfied. </w:t>
      </w:r>
    </w:p>
    <w:p w:rsidR="00000000" w:rsidRDefault="003E5AFF">
      <w:pPr>
        <w:pStyle w:val="NormalWeb"/>
        <w:spacing w:before="240" w:beforeAutospacing="0" w:after="0" w:afterAutospacing="0"/>
      </w:pPr>
      <w:r>
        <w:rPr>
          <w:rFonts w:ascii="Arial" w:hAnsi="Arial" w:cs="Arial"/>
          <w:i/>
          <w:iCs/>
        </w:rPr>
        <w:t xml:space="preserve">Argentina </w:t>
      </w:r>
    </w:p>
    <w:p w:rsidR="00000000" w:rsidRDefault="003E5AFF">
      <w:pPr>
        <w:pStyle w:val="NormalWeb"/>
        <w:spacing w:before="120" w:beforeAutospacing="0" w:after="0" w:afterAutospacing="0"/>
      </w:pPr>
      <w:r>
        <w:rPr>
          <w:rFonts w:ascii="Arial" w:hAnsi="Arial" w:cs="Arial"/>
        </w:rPr>
        <w:t>In Argentina, in addition to traditional mailings and catalogues similar to Chile, we conduct programming through our website, www.easy.com.ar, television and radio that teaches our clients how to use our products, and also thr</w:t>
      </w:r>
      <w:r>
        <w:rPr>
          <w:rFonts w:ascii="Arial" w:hAnsi="Arial" w:cs="Arial"/>
        </w:rPr>
        <w:t xml:space="preserve">ough practical classes at our store locations. Our television and radio programming runs continuously on local channels. In Argentina, we also guarantee customer satisfaction and accept any returns. </w:t>
      </w:r>
    </w:p>
    <w:p w:rsidR="00000000" w:rsidRDefault="003E5AFF">
      <w:pPr>
        <w:pStyle w:val="NormalWeb"/>
        <w:spacing w:before="240" w:beforeAutospacing="0" w:after="0" w:afterAutospacing="0"/>
      </w:pPr>
      <w:r>
        <w:rPr>
          <w:rFonts w:ascii="Arial" w:hAnsi="Arial" w:cs="Arial"/>
          <w:b/>
          <w:bCs/>
          <w:i/>
          <w:iCs/>
        </w:rPr>
        <w:t xml:space="preserve">Department stores </w:t>
      </w:r>
    </w:p>
    <w:p w:rsidR="00000000" w:rsidRDefault="003E5AFF">
      <w:pPr>
        <w:pStyle w:val="NormalWeb"/>
        <w:spacing w:before="120" w:beforeAutospacing="0" w:after="0" w:afterAutospacing="0"/>
      </w:pPr>
      <w:r>
        <w:rPr>
          <w:rFonts w:ascii="Arial" w:hAnsi="Arial" w:cs="Arial"/>
        </w:rPr>
        <w:t>Our Paris department stores have a co</w:t>
      </w:r>
      <w:r>
        <w:rPr>
          <w:rFonts w:ascii="Arial" w:hAnsi="Arial" w:cs="Arial"/>
        </w:rPr>
        <w:t>mplete marketing calendar, with a strong and consistent investment in mass media as well as digital media. The Paris Facebook page has almost 466,000 fans, and Paris was a pioneer in creating special events for its fans. Paris has advertising contracts wit</w:t>
      </w:r>
      <w:r>
        <w:rPr>
          <w:rFonts w:ascii="Arial" w:hAnsi="Arial" w:cs="Arial"/>
        </w:rPr>
        <w:t xml:space="preserve">h well-known celebrities in the local community, positioning Paris as a fashionable, modern and women-oriented brand. </w:t>
      </w:r>
    </w:p>
    <w:p w:rsidR="00000000" w:rsidRDefault="003E5AFF">
      <w:pPr>
        <w:pStyle w:val="NormalWeb"/>
        <w:spacing w:before="120" w:beforeAutospacing="0" w:after="0" w:afterAutospacing="0"/>
      </w:pPr>
      <w:r>
        <w:rPr>
          <w:rFonts w:ascii="Arial" w:hAnsi="Arial" w:cs="Arial"/>
        </w:rPr>
        <w:t xml:space="preserve">Since 2010, Paris has presented the _Paris Parade,_ an event similar to the Macy_s Thanksgiving Day Parade in New York, where people and </w:t>
      </w:r>
      <w:r>
        <w:rPr>
          <w:rFonts w:ascii="Arial" w:hAnsi="Arial" w:cs="Arial"/>
        </w:rPr>
        <w:t xml:space="preserve">large inflatable balloons parade through Santiago_s main avenue. </w:t>
      </w:r>
    </w:p>
    <w:p w:rsidR="00000000" w:rsidRDefault="003E5AFF">
      <w:pPr>
        <w:pStyle w:val="NormalWeb"/>
        <w:spacing w:before="240" w:beforeAutospacing="0" w:after="0" w:afterAutospacing="0"/>
      </w:pPr>
      <w:r>
        <w:rPr>
          <w:rFonts w:ascii="Arial" w:hAnsi="Arial" w:cs="Arial"/>
          <w:b/>
          <w:bCs/>
          <w:i/>
          <w:iCs/>
        </w:rPr>
        <w:t xml:space="preserve">Shopping centers </w:t>
      </w:r>
    </w:p>
    <w:p w:rsidR="00000000" w:rsidRDefault="003E5AFF">
      <w:pPr>
        <w:pStyle w:val="NormalWeb"/>
        <w:spacing w:before="120" w:beforeAutospacing="0" w:after="0" w:afterAutospacing="0"/>
      </w:pPr>
      <w:r>
        <w:rPr>
          <w:rFonts w:ascii="Arial" w:hAnsi="Arial" w:cs="Arial"/>
        </w:rPr>
        <w:t>Marketing activities and programs for our shopping centers are conducted by each individual shopping center. Our principal marketing objective is to attract customers to ou</w:t>
      </w:r>
      <w:r>
        <w:rPr>
          <w:rFonts w:ascii="Arial" w:hAnsi="Arial" w:cs="Arial"/>
        </w:rPr>
        <w:t>r shopping centers through traditional publicity on television, radio and in newspaper announcements as well as through special events at the shopping centers, including fashions shows, concerts, theater productions, wine tastings, cooking classes and aero</w:t>
      </w:r>
      <w:r>
        <w:rPr>
          <w:rFonts w:ascii="Arial" w:hAnsi="Arial" w:cs="Arial"/>
        </w:rPr>
        <w:t xml:space="preserve">bics classes. In addition, we regularly give away gifts through lotteries that customers can enter by purchasing a product from one of our shopping center retailers. </w:t>
      </w:r>
    </w:p>
    <w:p w:rsidR="00000000" w:rsidRDefault="003E5AFF">
      <w:pPr>
        <w:pStyle w:val="NormalWeb"/>
        <w:spacing w:before="120" w:beforeAutospacing="0" w:after="0" w:afterAutospacing="0"/>
      </w:pPr>
      <w:r>
        <w:rPr>
          <w:rFonts w:ascii="Arial" w:hAnsi="Arial" w:cs="Arial"/>
        </w:rPr>
        <w:t>All shopping center promotional and marketing costs are paid by our tenants as part of th</w:t>
      </w:r>
      <w:r>
        <w:rPr>
          <w:rFonts w:ascii="Arial" w:hAnsi="Arial" w:cs="Arial"/>
        </w:rPr>
        <w:t xml:space="preserve">eir monthly maintenance fees. Each tenant_s contribution is proportional to its sales. </w:t>
      </w:r>
    </w:p>
    <w:p w:rsidR="00000000" w:rsidRDefault="003E5AFF">
      <w:pPr>
        <w:pStyle w:val="NormalWeb"/>
        <w:spacing w:before="240" w:beforeAutospacing="0" w:after="0" w:afterAutospacing="0"/>
      </w:pPr>
      <w:r>
        <w:rPr>
          <w:rFonts w:ascii="Arial" w:hAnsi="Arial" w:cs="Arial"/>
          <w:b/>
          <w:bCs/>
          <w:sz w:val="24"/>
          <w:szCs w:val="24"/>
        </w:rPr>
        <w:t xml:space="preserve">Competition </w:t>
      </w:r>
    </w:p>
    <w:p w:rsidR="00000000" w:rsidRDefault="003E5AFF">
      <w:pPr>
        <w:pStyle w:val="NormalWeb"/>
        <w:spacing w:before="120" w:beforeAutospacing="0" w:after="0" w:afterAutospacing="0"/>
      </w:pPr>
      <w:r>
        <w:rPr>
          <w:rFonts w:ascii="Arial" w:hAnsi="Arial" w:cs="Arial"/>
        </w:rPr>
        <w:t>The retail industry is highly competitive and characterized by high inventory turnover, controlled operating expenses and small profit margins as a percent</w:t>
      </w:r>
      <w:r>
        <w:rPr>
          <w:rFonts w:ascii="Arial" w:hAnsi="Arial" w:cs="Arial"/>
        </w:rPr>
        <w:t xml:space="preserve">age of sales. Earnings primarily depend upon the maintenance of high per-store sales volumes, efficient product purchasing and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- 216 - </w:t>
      </w:r>
    </w:p>
    <w:p w:rsidR="00000000" w:rsidRDefault="003E5AFF">
      <w:pPr>
        <w:rPr>
          <w:rFonts w:eastAsia="Times New Roman" w:cs="Times New Roman"/>
        </w:rPr>
      </w:pPr>
      <w:r>
        <w:rPr>
          <w:rFonts w:eastAsia="Times New Roman" w:cs="Times New Roman"/>
        </w:rPr>
        <w:pict>
          <v:rect id="_x0000_i1253" style="width:441.9pt;height:3pt" o:hralign="center" o:hrstd="t" o:hrnoshade="t" o:hr="t" fillcolor="#999" stroked="f"/>
        </w:pict>
      </w:r>
    </w:p>
    <w:p w:rsidR="00000000" w:rsidRDefault="003E5AFF">
      <w:pPr>
        <w:pStyle w:val="Heading5"/>
        <w:rPr>
          <w:rFonts w:eastAsia="Times New Roman" w:cs="Times New Roman"/>
        </w:rPr>
      </w:pPr>
      <w:hyperlink r:id="rId27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distribution and cost-effective store operations and inventory management. Advertising and promotional expenses are necessary to maintain our competitive position in our major markets. We compete principally on the basis of price and, to a lesser extent, l</w:t>
      </w:r>
      <w:r>
        <w:rPr>
          <w:rFonts w:ascii="Arial" w:hAnsi="Arial" w:cs="Arial"/>
        </w:rPr>
        <w:t>ocation, selection of merchandise, quality of merchandise (in particular perishables), service, store conditions and promotions. We face strong competition from international and domestic operators of supermarkets, department stores, home improvement store</w:t>
      </w:r>
      <w:r>
        <w:rPr>
          <w:rFonts w:ascii="Arial" w:hAnsi="Arial" w:cs="Arial"/>
        </w:rPr>
        <w:t xml:space="preserve">s and shopping centers, including Casino, Carrefour, Wal-Mart, and Falabella. See _Industry Overview and Competition._ </w:t>
      </w:r>
    </w:p>
    <w:p w:rsidR="00000000" w:rsidRDefault="003E5AFF">
      <w:pPr>
        <w:pStyle w:val="NormalWeb"/>
        <w:spacing w:before="120" w:beforeAutospacing="0" w:after="0" w:afterAutospacing="0"/>
      </w:pPr>
      <w:r>
        <w:rPr>
          <w:rFonts w:ascii="Arial" w:hAnsi="Arial" w:cs="Arial"/>
        </w:rPr>
        <w:t xml:space="preserve">The following table provides a brief overview of our competitive position in each of our principal markets as of December 21,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722"/>
        <w:gridCol w:w="288"/>
        <w:gridCol w:w="98"/>
        <w:gridCol w:w="391"/>
        <w:gridCol w:w="288"/>
        <w:gridCol w:w="344"/>
        <w:gridCol w:w="187"/>
        <w:gridCol w:w="747"/>
        <w:gridCol w:w="344"/>
        <w:gridCol w:w="402"/>
        <w:gridCol w:w="124"/>
        <w:gridCol w:w="421"/>
        <w:gridCol w:w="300"/>
        <w:gridCol w:w="38"/>
        <w:gridCol w:w="101"/>
        <w:gridCol w:w="344"/>
        <w:gridCol w:w="167"/>
      </w:tblGrid>
      <w:tr w:rsidR="00000000">
        <w:trPr>
          <w:jc w:val="center"/>
        </w:trPr>
        <w:tc>
          <w:tcPr>
            <w:tcW w:w="3300" w:type="pct"/>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400" w:type="pct"/>
            <w:vAlign w:val="bottom"/>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Chile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Argentina</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Brazil</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Peru</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r>
              <w:rPr>
                <w:rFonts w:ascii="Arial" w:eastAsia="Times New Roman" w:hAnsi="Arial" w:cs="Arial"/>
                <w:sz w:val="15"/>
                <w:szCs w:val="15"/>
                <w:vertAlign w:val="superscript"/>
              </w:rPr>
              <w:t>nd</w:t>
            </w:r>
            <w:r>
              <w:rPr>
                <w:rFonts w:eastAsia="Times New Roman" w:cs="Times New Roman"/>
              </w:rPr>
              <w:t xml:space="preserve">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r>
              <w:rPr>
                <w:rFonts w:ascii="Arial" w:eastAsia="Times New Roman" w:hAnsi="Arial" w:cs="Arial"/>
                <w:sz w:val="15"/>
                <w:szCs w:val="15"/>
                <w:vertAlign w:val="superscript"/>
              </w:rPr>
              <w:t>nd</w:t>
            </w:r>
            <w:r>
              <w:rPr>
                <w:rFonts w:eastAsia="Times New Roman" w:cs="Times New Roman"/>
              </w:rPr>
              <w:t xml:space="preserve">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r>
              <w:rPr>
                <w:rFonts w:ascii="Arial" w:eastAsia="Times New Roman" w:hAnsi="Arial" w:cs="Arial"/>
                <w:sz w:val="15"/>
                <w:szCs w:val="15"/>
                <w:vertAlign w:val="superscript"/>
              </w:rPr>
              <w:t>st</w:t>
            </w:r>
            <w:r>
              <w:rPr>
                <w:rFonts w:eastAsia="Times New Roman" w:cs="Times New Roman"/>
              </w:rPr>
              <w:t xml:space="preserve">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xml:space="preserve">(1)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r>
              <w:rPr>
                <w:rFonts w:ascii="Arial" w:eastAsia="Times New Roman" w:hAnsi="Arial" w:cs="Arial"/>
                <w:sz w:val="15"/>
                <w:szCs w:val="15"/>
                <w:vertAlign w:val="superscript"/>
              </w:rPr>
              <w:t>st</w:t>
            </w:r>
            <w:r>
              <w:rPr>
                <w:rFonts w:eastAsia="Times New Roman" w:cs="Times New Roman"/>
              </w:rPr>
              <w:t xml:space="preserve">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r>
              <w:rPr>
                <w:rFonts w:ascii="Arial" w:eastAsia="Times New Roman" w:hAnsi="Arial" w:cs="Arial"/>
                <w:sz w:val="15"/>
                <w:szCs w:val="15"/>
                <w:vertAlign w:val="superscript"/>
              </w:rPr>
              <w:t>nd</w:t>
            </w:r>
            <w:r>
              <w:rPr>
                <w:rFonts w:eastAsia="Times New Roman" w:cs="Times New Roman"/>
              </w:rPr>
              <w:t xml:space="preserve">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r>
              <w:rPr>
                <w:rFonts w:ascii="Arial" w:eastAsia="Times New Roman" w:hAnsi="Arial" w:cs="Arial"/>
                <w:sz w:val="15"/>
                <w:szCs w:val="15"/>
                <w:vertAlign w:val="superscript"/>
              </w:rPr>
              <w:t>nd</w:t>
            </w:r>
            <w:r>
              <w:rPr>
                <w:rFonts w:eastAsia="Times New Roman" w:cs="Times New Roman"/>
              </w:rPr>
              <w:t xml:space="preserve">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r>
              <w:rPr>
                <w:rFonts w:ascii="Arial" w:eastAsia="Times New Roman" w:hAnsi="Arial" w:cs="Arial"/>
                <w:sz w:val="15"/>
                <w:szCs w:val="15"/>
                <w:vertAlign w:val="superscript"/>
              </w:rPr>
              <w:t>st</w:t>
            </w:r>
            <w:r>
              <w:rPr>
                <w:rFonts w:eastAsia="Times New Roman" w:cs="Times New Roman"/>
              </w:rPr>
              <w:t xml:space="preserve"> </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r>
              <w:rPr>
                <w:rFonts w:ascii="Arial" w:eastAsia="Times New Roman" w:hAnsi="Arial" w:cs="Arial"/>
                <w:sz w:val="15"/>
                <w:szCs w:val="15"/>
                <w:vertAlign w:val="superscript"/>
              </w:rPr>
              <w:t>nd</w:t>
            </w:r>
            <w:r>
              <w:rPr>
                <w:rFonts w:eastAsia="Times New Roman" w:cs="Times New Roman"/>
              </w:rPr>
              <w:t xml:space="preserve">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xml:space="preserve">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r>
              <w:rPr>
                <w:rFonts w:ascii="Arial" w:eastAsia="Times New Roman" w:hAnsi="Arial" w:cs="Arial"/>
                <w:sz w:val="15"/>
                <w:szCs w:val="15"/>
                <w:vertAlign w:val="superscript"/>
              </w:rPr>
              <w:t>nd</w:t>
            </w:r>
            <w:r>
              <w:rPr>
                <w:rFonts w:eastAsia="Times New Roman" w:cs="Times New Roman"/>
              </w:rPr>
              <w:t xml:space="preserve"> </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60" w:beforeAutospacing="0" w:after="0" w:afterAutospacing="0"/>
      </w:pPr>
      <w:r>
        <w:rPr>
          <w:rFonts w:ascii="Arial" w:hAnsi="Arial" w:cs="Arial"/>
          <w:sz w:val="15"/>
          <w:szCs w:val="15"/>
        </w:rPr>
        <w:t xml:space="preserve">Source: ASACH, ABRAS, Nielsen, competitors_ press releases, and company estimates.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 the northeast region of Brazil. </w:t>
            </w:r>
          </w:p>
        </w:tc>
      </w:tr>
    </w:tbl>
    <w:p w:rsidR="00000000" w:rsidRDefault="003E5AFF">
      <w:pPr>
        <w:pStyle w:val="NormalWeb"/>
        <w:spacing w:before="120" w:beforeAutospacing="0" w:after="0" w:afterAutospacing="0"/>
      </w:pPr>
      <w:r>
        <w:rPr>
          <w:rFonts w:ascii="Arial" w:hAnsi="Arial" w:cs="Arial"/>
        </w:rPr>
        <w:t xml:space="preserve">See _Industry Overview and </w:t>
      </w:r>
      <w:r>
        <w:rPr>
          <w:rFonts w:ascii="Arial" w:hAnsi="Arial" w:cs="Arial"/>
        </w:rPr>
        <w:t xml:space="preserve">Competition_ for more information about the markets in which we compete. </w:t>
      </w:r>
    </w:p>
    <w:p w:rsidR="00000000" w:rsidRDefault="003E5AFF">
      <w:pPr>
        <w:pStyle w:val="NormalWeb"/>
        <w:spacing w:before="240" w:beforeAutospacing="0" w:after="0" w:afterAutospacing="0"/>
      </w:pPr>
      <w:r>
        <w:rPr>
          <w:rFonts w:ascii="Arial" w:hAnsi="Arial" w:cs="Arial"/>
          <w:b/>
          <w:bCs/>
          <w:sz w:val="24"/>
          <w:szCs w:val="24"/>
        </w:rPr>
        <w:t xml:space="preserve">Management information systems </w:t>
      </w:r>
    </w:p>
    <w:p w:rsidR="00000000" w:rsidRDefault="003E5AFF">
      <w:pPr>
        <w:pStyle w:val="NormalWeb"/>
        <w:spacing w:before="120" w:beforeAutospacing="0" w:after="0" w:afterAutospacing="0"/>
      </w:pPr>
      <w:r>
        <w:rPr>
          <w:rFonts w:ascii="Arial" w:hAnsi="Arial" w:cs="Arial"/>
        </w:rPr>
        <w:t>_Our management information systems include technology that permits us to automate our back office, distribution and checkout operations. Our technology department is responsible for technical support, operations, development and maintenance of our managem</w:t>
      </w:r>
      <w:r>
        <w:rPr>
          <w:rFonts w:ascii="Arial" w:hAnsi="Arial" w:cs="Arial"/>
        </w:rPr>
        <w:t xml:space="preserve">ent information systems. Our team specializes in providing company-wide business intelligence according to our business strategy to achieve a competitive advantage. </w:t>
      </w:r>
    </w:p>
    <w:p w:rsidR="00000000" w:rsidRDefault="003E5AFF">
      <w:pPr>
        <w:pStyle w:val="NormalWeb"/>
        <w:spacing w:before="120" w:beforeAutospacing="0" w:after="0" w:afterAutospacing="0"/>
      </w:pPr>
      <w:r>
        <w:rPr>
          <w:rFonts w:ascii="Arial" w:hAnsi="Arial" w:cs="Arial"/>
        </w:rPr>
        <w:t>We have made significant investments in maintaining and updating our technology infrastruc</w:t>
      </w:r>
      <w:r>
        <w:rPr>
          <w:rFonts w:ascii="Arial" w:hAnsi="Arial" w:cs="Arial"/>
        </w:rPr>
        <w:t>ture and systems applications and business solutions. The current customized information systems have contributed significantly to our competitiveness and growth to date, however, they are also diverse, complicated, increasingly expensive and of limited fl</w:t>
      </w:r>
      <w:r>
        <w:rPr>
          <w:rFonts w:ascii="Arial" w:hAnsi="Arial" w:cs="Arial"/>
        </w:rPr>
        <w:t>exibility in respect of evolving technology and growth of our business. Therefore, we are simplifying our systems architecture. For example, we have integrated the operations of our Jumbo and Disco supermarkets in Argentina, resulting in operating efficien</w:t>
      </w:r>
      <w:r>
        <w:rPr>
          <w:rFonts w:ascii="Arial" w:hAnsi="Arial" w:cs="Arial"/>
        </w:rPr>
        <w:t>cies and cost savings. Finally, all acquired entities are operating over the same data network, sharing network services, IP phone and video conferencing services, as well as information technology security tools and protocols, allowing us to operate at lo</w:t>
      </w:r>
      <w:r>
        <w:rPr>
          <w:rFonts w:ascii="Arial" w:hAnsi="Arial" w:cs="Arial"/>
        </w:rPr>
        <w:t xml:space="preserve">wer costs and setting the ground for wide-scale Information Technology (_IT_) integration across the regions in which we operate. </w:t>
      </w:r>
    </w:p>
    <w:p w:rsidR="00000000" w:rsidRDefault="003E5AFF">
      <w:pPr>
        <w:pStyle w:val="NormalWeb"/>
        <w:spacing w:before="120" w:beforeAutospacing="0" w:after="0" w:afterAutospacing="0"/>
      </w:pPr>
      <w:r>
        <w:rPr>
          <w:rFonts w:ascii="Arial" w:hAnsi="Arial" w:cs="Arial"/>
        </w:rPr>
        <w:t>We are in the process of a company-wide roll out of single business solutions for each of our business segments, which will s</w:t>
      </w:r>
      <w:r>
        <w:rPr>
          <w:rFonts w:ascii="Arial" w:hAnsi="Arial" w:cs="Arial"/>
        </w:rPr>
        <w:t>implify the current processes and further enable our growth strategy. The business solutions are based in technology obtained through a strategic agreement with SAP A.G. These projects are expected to improve financial control, inventory optimization, stor</w:t>
      </w:r>
      <w:r>
        <w:rPr>
          <w:rFonts w:ascii="Arial" w:hAnsi="Arial" w:cs="Arial"/>
        </w:rPr>
        <w:t>e operations and supply chain planning and execution. Furthermore, it will facilitate and simplify the incorporation of new stores, allowing us to maintain competitiveness and quickly adapt to trends and our customers_ needs. For our home improvement store</w:t>
      </w:r>
      <w:r>
        <w:rPr>
          <w:rFonts w:ascii="Arial" w:hAnsi="Arial" w:cs="Arial"/>
        </w:rPr>
        <w:t xml:space="preserve">s segment, the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- 217 - </w:t>
      </w:r>
    </w:p>
    <w:p w:rsidR="00000000" w:rsidRDefault="003E5AFF">
      <w:pPr>
        <w:rPr>
          <w:rFonts w:eastAsia="Times New Roman" w:cs="Times New Roman"/>
        </w:rPr>
      </w:pPr>
      <w:r>
        <w:rPr>
          <w:rFonts w:eastAsia="Times New Roman" w:cs="Times New Roman"/>
        </w:rPr>
        <w:pict>
          <v:rect id="_x0000_i1254" style="width:441.9pt;height:3pt" o:hralign="center" o:hrstd="t" o:hrnoshade="t" o:hr="t" fillcolor="#999" stroked="f"/>
        </w:pict>
      </w:r>
    </w:p>
    <w:p w:rsidR="00000000" w:rsidRDefault="003E5AFF">
      <w:pPr>
        <w:pStyle w:val="Heading5"/>
        <w:rPr>
          <w:rFonts w:eastAsia="Times New Roman" w:cs="Times New Roman"/>
        </w:rPr>
      </w:pPr>
      <w:hyperlink r:id="rId27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platform roll-out began in 2011 in Chile and is planned to end during 2012 with Argentina and Colombia. For our department stores segment the roll-out is planned to be in 2012 for Peru and in 2014 for Chile. The roll-out for our supermarkets segment will b</w:t>
      </w:r>
      <w:r>
        <w:rPr>
          <w:rFonts w:ascii="Arial" w:hAnsi="Arial" w:cs="Arial"/>
        </w:rPr>
        <w:t>e phased-in for Brazil, Chile, Argentina and Peru, and is expected to end in 2015. Similarly, specific applications for purchasing and planning will be rolled across regions and operate over a single centralized data site for all regions and business units</w:t>
      </w:r>
      <w:r>
        <w:rPr>
          <w:rFonts w:ascii="Arial" w:hAnsi="Arial" w:cs="Arial"/>
        </w:rPr>
        <w:t xml:space="preserve">. In the case of logistics, we plan to implement a single home delivery module for all business units. </w:t>
      </w:r>
    </w:p>
    <w:p w:rsidR="00000000" w:rsidRDefault="003E5AFF">
      <w:pPr>
        <w:pStyle w:val="NormalWeb"/>
        <w:spacing w:before="120" w:beforeAutospacing="0" w:after="0" w:afterAutospacing="0"/>
      </w:pPr>
      <w:r>
        <w:rPr>
          <w:rFonts w:ascii="Arial" w:hAnsi="Arial" w:cs="Arial"/>
        </w:rPr>
        <w:t>We have also selected a credit card application architecture that will include risk management, credit approval, customer relationship management, colle</w:t>
      </w:r>
      <w:r>
        <w:rPr>
          <w:rFonts w:ascii="Arial" w:hAnsi="Arial" w:cs="Arial"/>
        </w:rPr>
        <w:t xml:space="preserve">ctions and transaction processing for our credit card operations in each region. This new solution will be implemented in Peru first, and will then be rolled-out to Chile, Argentina and Brazil. </w:t>
      </w:r>
    </w:p>
    <w:p w:rsidR="00000000" w:rsidRDefault="003E5AFF">
      <w:pPr>
        <w:pStyle w:val="NormalWeb"/>
        <w:spacing w:before="120" w:beforeAutospacing="0" w:after="0" w:afterAutospacing="0"/>
      </w:pPr>
      <w:r>
        <w:rPr>
          <w:rFonts w:ascii="Arial" w:hAnsi="Arial" w:cs="Arial"/>
        </w:rPr>
        <w:t xml:space="preserve">While we have some backup data processing systems that could </w:t>
      </w:r>
      <w:r>
        <w:rPr>
          <w:rFonts w:ascii="Arial" w:hAnsi="Arial" w:cs="Arial"/>
        </w:rPr>
        <w:t>be used in the event of a catastrophe or a failure of our primary systems, we do not yet have an integrated disaster recovery plan or a backup data center that covers all regions. We are currently in the process of centralizing our data centers in order to</w:t>
      </w:r>
      <w:r>
        <w:rPr>
          <w:rFonts w:ascii="Arial" w:hAnsi="Arial" w:cs="Arial"/>
        </w:rPr>
        <w:t xml:space="preserve"> process all applications for each region in a single location. We plan to do the same with our business intelligence and management control information. We expect to roll-out two backup data centers in Santiago and Buenos Aires, supported by global servic</w:t>
      </w:r>
      <w:r>
        <w:rPr>
          <w:rFonts w:ascii="Arial" w:hAnsi="Arial" w:cs="Arial"/>
        </w:rPr>
        <w:t xml:space="preserve">e providers and state-of-the-art equipment, which will provide support to all our regions. </w:t>
      </w:r>
    </w:p>
    <w:p w:rsidR="00000000" w:rsidRDefault="003E5AFF">
      <w:pPr>
        <w:pStyle w:val="NormalWeb"/>
        <w:spacing w:before="240" w:beforeAutospacing="0" w:after="0" w:afterAutospacing="0"/>
      </w:pPr>
      <w:r>
        <w:rPr>
          <w:rFonts w:ascii="Arial" w:hAnsi="Arial" w:cs="Arial"/>
          <w:b/>
          <w:bCs/>
          <w:i/>
          <w:iCs/>
        </w:rPr>
        <w:t xml:space="preserve">Cyber security </w:t>
      </w:r>
    </w:p>
    <w:p w:rsidR="00000000" w:rsidRDefault="003E5AFF">
      <w:pPr>
        <w:pStyle w:val="NormalWeb"/>
        <w:spacing w:before="120" w:beforeAutospacing="0" w:after="0" w:afterAutospacing="0"/>
      </w:pPr>
      <w:r>
        <w:rPr>
          <w:rFonts w:ascii="Arial" w:hAnsi="Arial" w:cs="Arial"/>
        </w:rPr>
        <w:t>Our security platform allows us to manage user identities, allocate resources to users and secure access to corporate resources. Our Information Sec</w:t>
      </w:r>
      <w:r>
        <w:rPr>
          <w:rFonts w:ascii="Arial" w:hAnsi="Arial" w:cs="Arial"/>
        </w:rPr>
        <w:t>urity Department and Corporate Audit Department review segregation of duties. We have an access management process for all the key applications that support business units based in Chile, Argentina, Peru and Colombia. Companies we acquired in Brazil are cu</w:t>
      </w:r>
      <w:r>
        <w:rPr>
          <w:rFonts w:ascii="Arial" w:hAnsi="Arial" w:cs="Arial"/>
        </w:rPr>
        <w:t xml:space="preserve">rrently developing similar systems. </w:t>
      </w:r>
    </w:p>
    <w:p w:rsidR="00000000" w:rsidRDefault="003E5AFF">
      <w:pPr>
        <w:pStyle w:val="NormalWeb"/>
        <w:spacing w:before="120" w:beforeAutospacing="0" w:after="0" w:afterAutospacing="0"/>
      </w:pPr>
      <w:r>
        <w:rPr>
          <w:rFonts w:ascii="Arial" w:hAnsi="Arial" w:cs="Arial"/>
        </w:rPr>
        <w:t xml:space="preserve">All of our data centers are being moved to Hewlett Packard facilities to assure best security practices. We began this project in August 2011 and anticipate completion in the third quarter of 2013. </w:t>
      </w:r>
    </w:p>
    <w:p w:rsidR="00000000" w:rsidRDefault="003E5AFF">
      <w:pPr>
        <w:pStyle w:val="NormalWeb"/>
        <w:spacing w:before="120" w:beforeAutospacing="0" w:after="0" w:afterAutospacing="0"/>
      </w:pPr>
      <w:r>
        <w:rPr>
          <w:rFonts w:ascii="Arial" w:hAnsi="Arial" w:cs="Arial"/>
        </w:rPr>
        <w:t>Cyber attack detecti</w:t>
      </w:r>
      <w:r>
        <w:rPr>
          <w:rFonts w:ascii="Arial" w:hAnsi="Arial" w:cs="Arial"/>
        </w:rPr>
        <w:t>on systems are currently in place, including firewalls and intrusion prevention systems. We have deployed antivirus solutions for endpoints and servers, antispam and antivirus for corporate e-mail and a web filtering solution to secure internet access. Sec</w:t>
      </w:r>
      <w:r>
        <w:rPr>
          <w:rFonts w:ascii="Arial" w:hAnsi="Arial" w:cs="Arial"/>
        </w:rPr>
        <w:t xml:space="preserve">urity infrastructure is deployed in Chile, Argentina, Peru and Colombia, and is in progress in Brazil. </w:t>
      </w:r>
    </w:p>
    <w:p w:rsidR="00000000" w:rsidRDefault="003E5AFF">
      <w:pPr>
        <w:pStyle w:val="NormalWeb"/>
        <w:spacing w:before="120" w:beforeAutospacing="0" w:after="0" w:afterAutospacing="0"/>
      </w:pPr>
      <w:r>
        <w:rPr>
          <w:rFonts w:ascii="Arial" w:hAnsi="Arial" w:cs="Arial"/>
        </w:rPr>
        <w:t xml:space="preserve">All policies, procedures and tools described above are also used in credit card and banking operations. Additionally, in 2011 we initiated a program to </w:t>
      </w:r>
      <w:r>
        <w:rPr>
          <w:rFonts w:ascii="Arial" w:hAnsi="Arial" w:cs="Arial"/>
        </w:rPr>
        <w:t>ensure our compliance with the Payment Card Industry Data Security Standard (PCI DSS), an information security standard for organizations that handle cardholder information for the major debit, credit, prepaid, e-purse, ATM, and POS cards. Defined by the P</w:t>
      </w:r>
      <w:r>
        <w:rPr>
          <w:rFonts w:ascii="Arial" w:hAnsi="Arial" w:cs="Arial"/>
        </w:rPr>
        <w:t>ayment Card Industry Security Standards Council, the standard was created to increase controls around cardholder data to reduce credit card fraud via its exposure. Validation of compliance is done annually_by an external Qualified Security Assessor (QSA) f</w:t>
      </w:r>
      <w:r>
        <w:rPr>
          <w:rFonts w:ascii="Arial" w:hAnsi="Arial" w:cs="Arial"/>
        </w:rPr>
        <w:t xml:space="preserve">or organizations handling large volumes of transactions, or by a Self-Assessment Questionnaire (SAQ) for companies handling smaller volumes. </w:t>
      </w:r>
    </w:p>
    <w:p w:rsidR="00000000" w:rsidRDefault="003E5AFF">
      <w:pPr>
        <w:pStyle w:val="NormalWeb"/>
        <w:spacing w:before="120" w:beforeAutospacing="0" w:after="0" w:afterAutospacing="0"/>
      </w:pPr>
      <w:r>
        <w:rPr>
          <w:rFonts w:ascii="Arial" w:hAnsi="Arial" w:cs="Arial"/>
        </w:rPr>
        <w:t>All of our distribution centers have a backup network link, uninterruptible power supply and emergency power syste</w:t>
      </w:r>
      <w:r>
        <w:rPr>
          <w:rFonts w:ascii="Arial" w:hAnsi="Arial" w:cs="Arial"/>
        </w:rPr>
        <w:t xml:space="preserve">ms in order to be protected from link cuts and main power disruptions.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- 218 - </w:t>
      </w:r>
    </w:p>
    <w:p w:rsidR="00000000" w:rsidRDefault="003E5AFF">
      <w:pPr>
        <w:rPr>
          <w:rFonts w:eastAsia="Times New Roman" w:cs="Times New Roman"/>
        </w:rPr>
      </w:pPr>
      <w:r>
        <w:rPr>
          <w:rFonts w:eastAsia="Times New Roman" w:cs="Times New Roman"/>
        </w:rPr>
        <w:pict>
          <v:rect id="_x0000_i1255" style="width:441.9pt;height:3pt" o:hralign="center" o:hrstd="t" o:hrnoshade="t" o:hr="t" fillcolor="#999" stroked="f"/>
        </w:pict>
      </w:r>
    </w:p>
    <w:p w:rsidR="00000000" w:rsidRDefault="003E5AFF">
      <w:pPr>
        <w:pStyle w:val="Heading5"/>
        <w:rPr>
          <w:rFonts w:eastAsia="Times New Roman" w:cs="Times New Roman"/>
        </w:rPr>
      </w:pPr>
      <w:hyperlink r:id="rId27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We also use a daily data backup system and have service con</w:t>
      </w:r>
      <w:r>
        <w:rPr>
          <w:rFonts w:ascii="Arial" w:hAnsi="Arial" w:cs="Arial"/>
        </w:rPr>
        <w:t xml:space="preserve">tracts in place to repair any hardware failures. </w:t>
      </w:r>
    </w:p>
    <w:p w:rsidR="00000000" w:rsidRDefault="003E5AFF">
      <w:pPr>
        <w:pStyle w:val="NormalWeb"/>
        <w:spacing w:before="120" w:beforeAutospacing="0" w:after="0" w:afterAutospacing="0"/>
      </w:pPr>
      <w:r>
        <w:rPr>
          <w:rFonts w:ascii="Arial" w:hAnsi="Arial" w:cs="Arial"/>
        </w:rPr>
        <w:t>In July 2007, we experienced a virus attack against our Chilean operations, which caused delays in our back-office activities. There were no material disruptions to our business operations. In response to t</w:t>
      </w:r>
      <w:r>
        <w:rPr>
          <w:rFonts w:ascii="Arial" w:hAnsi="Arial" w:cs="Arial"/>
        </w:rPr>
        <w:t xml:space="preserve">his attack, and to prevent future attacks, we have strengthened our antivirus policy update and have implemented training programs to promote awareness of cyber-vulnerabilities and to avoid virus infections. </w:t>
      </w:r>
    </w:p>
    <w:p w:rsidR="00000000" w:rsidRDefault="003E5AFF">
      <w:pPr>
        <w:pStyle w:val="NormalWeb"/>
        <w:spacing w:before="120" w:beforeAutospacing="0" w:after="0" w:afterAutospacing="0"/>
      </w:pPr>
      <w:r>
        <w:rPr>
          <w:rFonts w:ascii="Arial" w:hAnsi="Arial" w:cs="Arial"/>
        </w:rPr>
        <w:t xml:space="preserve">In April 2009, the home page for our Unicenter </w:t>
      </w:r>
      <w:r>
        <w:rPr>
          <w:rFonts w:ascii="Arial" w:hAnsi="Arial" w:cs="Arial"/>
        </w:rPr>
        <w:t xml:space="preserve">Shopping Center in Argentina was hacked. As a result, our customers were unable to access the home page for a brief period. There were no material disruptions to our business operations. In response to this event, and to prevent any future disruptions, we </w:t>
      </w:r>
      <w:r>
        <w:rPr>
          <w:rFonts w:ascii="Arial" w:hAnsi="Arial" w:cs="Arial"/>
        </w:rPr>
        <w:t>have defined more stringent security recommendations for software development. Software is subjected to an exhaustive security test before the application is moved to the production environment and ethical hacking activities are performed periodically to e</w:t>
      </w:r>
      <w:r>
        <w:rPr>
          <w:rFonts w:ascii="Arial" w:hAnsi="Arial" w:cs="Arial"/>
        </w:rPr>
        <w:t xml:space="preserve">nsure security. </w:t>
      </w:r>
    </w:p>
    <w:p w:rsidR="00000000" w:rsidRDefault="003E5AFF">
      <w:pPr>
        <w:pStyle w:val="NormalWeb"/>
        <w:spacing w:before="240" w:beforeAutospacing="0" w:after="0" w:afterAutospacing="0"/>
      </w:pPr>
      <w:r>
        <w:rPr>
          <w:rFonts w:ascii="Arial" w:hAnsi="Arial" w:cs="Arial"/>
          <w:b/>
          <w:bCs/>
          <w:sz w:val="24"/>
          <w:szCs w:val="24"/>
        </w:rPr>
        <w:t xml:space="preserve">Properties </w:t>
      </w:r>
    </w:p>
    <w:p w:rsidR="00000000" w:rsidRDefault="003E5AFF">
      <w:pPr>
        <w:pStyle w:val="NormalWeb"/>
        <w:spacing w:before="120" w:beforeAutospacing="0" w:after="0" w:afterAutospacing="0"/>
      </w:pPr>
      <w:r>
        <w:rPr>
          <w:rFonts w:ascii="Arial" w:hAnsi="Arial" w:cs="Arial"/>
        </w:rPr>
        <w:t xml:space="preserve">Our properties include hypermarkets, supermarkets, home improvement stores, department stores, </w:t>
      </w:r>
      <w:r>
        <w:rPr>
          <w:rFonts w:ascii="Arial" w:hAnsi="Arial" w:cs="Arial"/>
        </w:rPr>
        <w:t>shopping centers and land reserves for the construction of stores and shopping centers. All of our properties are located in Argentina, Brazil, Chile, Colombia and Peru. We believe that all of our facilities are adequate for our present need and suitable f</w:t>
      </w:r>
      <w:r>
        <w:rPr>
          <w:rFonts w:ascii="Arial" w:hAnsi="Arial" w:cs="Arial"/>
        </w:rPr>
        <w:t xml:space="preserve">or their intended purposes. </w:t>
      </w:r>
    </w:p>
    <w:p w:rsidR="00000000" w:rsidRDefault="003E5AFF">
      <w:pPr>
        <w:pStyle w:val="NormalWeb"/>
        <w:spacing w:before="120" w:beforeAutospacing="0" w:after="0" w:afterAutospacing="0"/>
      </w:pPr>
      <w:r>
        <w:rPr>
          <w:rFonts w:ascii="Arial" w:hAnsi="Arial" w:cs="Arial"/>
        </w:rPr>
        <w:t xml:space="preserve">We own our headquarters, located at Av. Kennedy 9001, Las Condes, Santiago, Chile. </w:t>
      </w:r>
    </w:p>
    <w:p w:rsidR="00000000" w:rsidRDefault="003E5AFF">
      <w:pPr>
        <w:pStyle w:val="NormalWeb"/>
        <w:spacing w:before="120" w:beforeAutospacing="0" w:after="0" w:afterAutospacing="0"/>
      </w:pPr>
      <w:r>
        <w:rPr>
          <w:rFonts w:ascii="Arial" w:hAnsi="Arial" w:cs="Arial"/>
        </w:rPr>
        <w:t xml:space="preserve">The following table sets forth certain information with respect to our facilities at December 31, 2011: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812"/>
        <w:gridCol w:w="247"/>
        <w:gridCol w:w="57"/>
        <w:gridCol w:w="857"/>
        <w:gridCol w:w="112"/>
        <w:gridCol w:w="246"/>
        <w:gridCol w:w="238"/>
        <w:gridCol w:w="1418"/>
        <w:gridCol w:w="112"/>
        <w:gridCol w:w="246"/>
        <w:gridCol w:w="82"/>
        <w:gridCol w:w="486"/>
        <w:gridCol w:w="112"/>
        <w:gridCol w:w="246"/>
        <w:gridCol w:w="70"/>
        <w:gridCol w:w="853"/>
        <w:gridCol w:w="112"/>
      </w:tblGrid>
      <w:tr w:rsidR="00000000">
        <w:trPr>
          <w:jc w:val="center"/>
        </w:trPr>
        <w:tc>
          <w:tcPr>
            <w:tcW w:w="2850" w:type="pct"/>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Segment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Country</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Number of stores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Are</w:t>
            </w:r>
            <w:r>
              <w:rPr>
                <w:rFonts w:ascii="Arial" w:eastAsia="Times New Roman" w:hAnsi="Arial" w:cs="Arial"/>
                <w:b/>
                <w:bCs/>
              </w:rPr>
              <w:t>a</w:t>
            </w:r>
            <w:r>
              <w:rPr>
                <w:rFonts w:ascii="Arial" w:eastAsia="Times New Roman" w:hAnsi="Arial" w:cs="Arial"/>
                <w:b/>
                <w:bCs/>
                <w:sz w:val="15"/>
                <w:szCs w:val="15"/>
                <w:vertAlign w:val="superscript"/>
              </w:rPr>
              <w:t xml:space="preserve">(1)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 Leased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Hypermarkets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Peru</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Supermarkets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Argentina</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62.0%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Supermarkets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Brazil</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95.0%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Argentina</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23.0%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Home Improvement</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Home Improvement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Colombia</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75.0%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Department Stores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Argentina</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Shopping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283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27.0%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Shopping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Peru</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Distribution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Argentina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Distribution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Brazil</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Distribution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64.0%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Distribution Centers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Colombia</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Distribution Centers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Peru</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52.0%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 thousands of square meters.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- 219 - </w:t>
      </w:r>
    </w:p>
    <w:p w:rsidR="00000000" w:rsidRDefault="003E5AFF">
      <w:pPr>
        <w:rPr>
          <w:rFonts w:eastAsia="Times New Roman" w:cs="Times New Roman"/>
        </w:rPr>
      </w:pPr>
      <w:r>
        <w:rPr>
          <w:rFonts w:eastAsia="Times New Roman" w:cs="Times New Roman"/>
        </w:rPr>
        <w:pict>
          <v:rect id="_x0000_i1256" style="width:441.9pt;height:3pt" o:hralign="center" o:hrstd="t" o:hrnoshade="t" o:hr="t" fillcolor="#999" stroked="f"/>
        </w:pict>
      </w:r>
    </w:p>
    <w:p w:rsidR="00000000" w:rsidRDefault="003E5AFF">
      <w:pPr>
        <w:pStyle w:val="Heading5"/>
        <w:rPr>
          <w:rFonts w:eastAsia="Times New Roman" w:cs="Times New Roman"/>
        </w:rPr>
      </w:pPr>
      <w:hyperlink r:id="rId27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In addition, we routinely purchase undeveloped properties that we hope to use for future construction supermarkets, home improvement stores and shopping centers. As of December 31, 2011, we had the following undeveloped properties: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503"/>
        <w:gridCol w:w="689"/>
        <w:gridCol w:w="310"/>
        <w:gridCol w:w="1846"/>
        <w:gridCol w:w="112"/>
        <w:gridCol w:w="689"/>
        <w:gridCol w:w="306"/>
        <w:gridCol w:w="2739"/>
        <w:gridCol w:w="112"/>
      </w:tblGrid>
      <w:tr w:rsidR="00000000">
        <w:trPr>
          <w:jc w:val="center"/>
        </w:trPr>
        <w:tc>
          <w:tcPr>
            <w:tcW w:w="2400" w:type="pct"/>
            <w:vAlign w:val="center"/>
            <w:hideMark/>
          </w:tcPr>
          <w:p w:rsidR="00000000" w:rsidRDefault="003E5AFF">
            <w:pPr>
              <w:rPr>
                <w:rFonts w:eastAsia="Times New Roman" w:cs="Times New Roman"/>
              </w:rPr>
            </w:pPr>
          </w:p>
        </w:tc>
        <w:tc>
          <w:tcPr>
            <w:tcW w:w="1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1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Country</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Number of propertie</w:t>
            </w:r>
            <w:r>
              <w:rPr>
                <w:rFonts w:ascii="Arial" w:eastAsia="Times New Roman" w:hAnsi="Arial" w:cs="Arial"/>
                <w:b/>
                <w:bCs/>
              </w:rPr>
              <w:t>s</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Total area</w:t>
            </w:r>
            <w:r>
              <w:rPr>
                <w:rFonts w:ascii="Arial" w:eastAsia="Times New Roman" w:hAnsi="Arial" w:cs="Arial"/>
                <w:b/>
                <w:bCs/>
              </w:rPr>
              <w:br/>
              <w:t>(in thousands of square meters)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Argentina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4,532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Brazil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412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Chile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3,583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Colombia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78</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Peru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8"/>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Includes properties where construction is ongoing. </w:t>
            </w:r>
          </w:p>
        </w:tc>
      </w:tr>
    </w:tbl>
    <w:p w:rsidR="00000000" w:rsidRDefault="003E5AFF">
      <w:pPr>
        <w:pStyle w:val="NormalWeb"/>
        <w:spacing w:before="240" w:beforeAutospacing="0" w:after="0" w:afterAutospacing="0"/>
      </w:pPr>
      <w:r>
        <w:rPr>
          <w:rFonts w:ascii="Arial" w:hAnsi="Arial" w:cs="Arial"/>
          <w:b/>
          <w:bCs/>
          <w:sz w:val="24"/>
          <w:szCs w:val="24"/>
        </w:rPr>
        <w:t xml:space="preserve">Material agreements </w:t>
      </w:r>
    </w:p>
    <w:p w:rsidR="00000000" w:rsidRDefault="003E5AFF">
      <w:pPr>
        <w:pStyle w:val="NormalWeb"/>
        <w:spacing w:before="120" w:beforeAutospacing="0" w:after="0" w:afterAutospacing="0"/>
      </w:pPr>
      <w:r>
        <w:rPr>
          <w:rFonts w:ascii="Arial" w:hAnsi="Arial" w:cs="Arial"/>
        </w:rPr>
        <w:t>On March </w:t>
      </w:r>
      <w:r>
        <w:rPr>
          <w:rFonts w:ascii="Arial" w:hAnsi="Arial" w:cs="Arial"/>
        </w:rPr>
        <w:t>24, 2011, we entered into a shareholders_ agreement (the _Shareholders_ Agreement_) with Palermo Argentina Holdings I, S.L., Palermo Argentina Holdings II, S.L., International Finance Corporation, SCF Chile S.A., BSSF Chile S.A. and BSSFP Chile S.A. (toget</w:t>
      </w:r>
      <w:r>
        <w:rPr>
          <w:rFonts w:ascii="Arial" w:hAnsi="Arial" w:cs="Arial"/>
        </w:rPr>
        <w:t xml:space="preserve">her, the _Investors_), whom at the time collectively held a 38.06% ownership interest in our Argentine supermarket subsidiary, Jumbo Retail Argentina (the _Jumbo Shares_). </w:t>
      </w:r>
    </w:p>
    <w:p w:rsidR="00000000" w:rsidRDefault="003E5AFF">
      <w:pPr>
        <w:pStyle w:val="NormalWeb"/>
        <w:spacing w:before="120" w:beforeAutospacing="0" w:after="0" w:afterAutospacing="0"/>
      </w:pPr>
      <w:r>
        <w:rPr>
          <w:rFonts w:ascii="Arial" w:hAnsi="Arial" w:cs="Arial"/>
        </w:rPr>
        <w:t>Pursuant to such Shareholders_ Agreement we granted the Investors the option to sel</w:t>
      </w:r>
      <w:r>
        <w:rPr>
          <w:rFonts w:ascii="Arial" w:hAnsi="Arial" w:cs="Arial"/>
        </w:rPr>
        <w:t>l all or a part of the Jumbo Shares to us in return for such shares or cash (the _Swap Option_). In March 2011, the Investors exercised such Swap Option with respect to all the shares and simultaneously accepted our instruction to sell the shares to UBS Lo</w:t>
      </w:r>
      <w:r>
        <w:rPr>
          <w:rFonts w:ascii="Arial" w:hAnsi="Arial" w:cs="Arial"/>
        </w:rPr>
        <w:t xml:space="preserve">ndon, our designee. UBS London thus executed a stock purchase agreement with the Investors to acquire all of the Jumbo Shares at a purchase price of U.S.$442 million, thereby completing the Swap Option contemplated in the Shareholders_ Agreement. </w:t>
      </w:r>
    </w:p>
    <w:p w:rsidR="00000000" w:rsidRDefault="003E5AFF">
      <w:pPr>
        <w:pStyle w:val="NormalWeb"/>
        <w:spacing w:before="120" w:beforeAutospacing="0" w:after="0" w:afterAutospacing="0"/>
      </w:pPr>
      <w:r>
        <w:rPr>
          <w:rFonts w:ascii="Arial" w:hAnsi="Arial" w:cs="Arial"/>
        </w:rPr>
        <w:t>Under th</w:t>
      </w:r>
      <w:r>
        <w:rPr>
          <w:rFonts w:ascii="Arial" w:hAnsi="Arial" w:cs="Arial"/>
        </w:rPr>
        <w:t>e Shareholders_ Agreement, in addition to all political and economic rights as a shareholder, UBS London also has certain additional rights and safeguards consisting of: (i) rights to information and review, (ii) the possibility of vetoing a director, (iii</w:t>
      </w:r>
      <w:r>
        <w:rPr>
          <w:rFonts w:ascii="Arial" w:hAnsi="Arial" w:cs="Arial"/>
        </w:rPr>
        <w:t xml:space="preserve">) restrictions on given purchase or sale transactions involving material assets and indebtedness, (iv) a commitment to not make changes to the by-laws or operations that infringe upon its status as minority shareholder and (v) other rights that strengthen </w:t>
      </w:r>
      <w:r>
        <w:rPr>
          <w:rFonts w:ascii="Arial" w:hAnsi="Arial" w:cs="Arial"/>
        </w:rPr>
        <w:t xml:space="preserve">its capacity to exert significant influence over the political and operational decisions of Jumbo Retail Argentina. </w:t>
      </w:r>
    </w:p>
    <w:p w:rsidR="00000000" w:rsidRDefault="003E5AFF">
      <w:pPr>
        <w:pStyle w:val="NormalWeb"/>
        <w:spacing w:before="120" w:beforeAutospacing="0" w:after="0" w:afterAutospacing="0"/>
      </w:pPr>
      <w:r>
        <w:rPr>
          <w:rFonts w:ascii="Arial" w:hAnsi="Arial" w:cs="Arial"/>
        </w:rPr>
        <w:t xml:space="preserve">In connection with UBS London_s acquisition of the Jumbo Shares, we executed an option agreement (the _Option Agreement_) with UBS London. </w:t>
      </w:r>
      <w:r>
        <w:rPr>
          <w:rFonts w:ascii="Arial" w:hAnsi="Arial" w:cs="Arial"/>
        </w:rPr>
        <w:t>Under the terms of the Option Agreement, UBS London has the right but not the obligation to sell its Jumbo Shares to us in September 2012 (the _UBS Put Option_), and we have the right but not the obligation to purchase the Jumbo Shares from UBS London in M</w:t>
      </w:r>
      <w:r>
        <w:rPr>
          <w:rFonts w:ascii="Arial" w:hAnsi="Arial" w:cs="Arial"/>
        </w:rPr>
        <w:t>arch 2012 or March 2013 (the _UBS Call Option_). If UBS London exercises the UBS Put Option, or if we exercise the UBS Call Option, we intend to use a portion of the proceeds of this offering to pay for our purchase obligations under such options. See _Use</w:t>
      </w:r>
      <w:r>
        <w:rPr>
          <w:rFonts w:ascii="Arial" w:hAnsi="Arial" w:cs="Arial"/>
        </w:rPr>
        <w:t xml:space="preserve"> of Proceeds._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- 220 - </w:t>
      </w:r>
    </w:p>
    <w:p w:rsidR="00000000" w:rsidRDefault="003E5AFF">
      <w:pPr>
        <w:rPr>
          <w:rFonts w:eastAsia="Times New Roman" w:cs="Times New Roman"/>
        </w:rPr>
      </w:pPr>
      <w:r>
        <w:rPr>
          <w:rFonts w:eastAsia="Times New Roman" w:cs="Times New Roman"/>
        </w:rPr>
        <w:pict>
          <v:rect id="_x0000_i1257" style="width:441.9pt;height:3pt" o:hralign="center" o:hrstd="t" o:hrnoshade="t" o:hr="t" fillcolor="#999" stroked="f"/>
        </w:pict>
      </w:r>
    </w:p>
    <w:p w:rsidR="00000000" w:rsidRDefault="003E5AFF">
      <w:pPr>
        <w:pStyle w:val="Heading5"/>
        <w:rPr>
          <w:rFonts w:eastAsia="Times New Roman" w:cs="Times New Roman"/>
        </w:rPr>
      </w:pPr>
      <w:hyperlink r:id="rId274"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b/>
          <w:bCs/>
          <w:sz w:val="24"/>
          <w:szCs w:val="24"/>
        </w:rPr>
        <w:t xml:space="preserve">Our subsidiaries </w:t>
      </w:r>
    </w:p>
    <w:p w:rsidR="00000000" w:rsidRDefault="003E5AFF">
      <w:pPr>
        <w:pStyle w:val="NormalWeb"/>
        <w:spacing w:before="120" w:beforeAutospacing="0" w:after="0" w:afterAutospacing="0"/>
      </w:pPr>
      <w:r>
        <w:rPr>
          <w:rFonts w:ascii="Arial" w:hAnsi="Arial" w:cs="Arial"/>
        </w:rPr>
        <w:t xml:space="preserve">The following are our direct and indirect majority-owned subsidiaries as of March 31, 2012: </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pBdr>
          <w:bottom w:val="single" w:sz="18" w:space="0" w:color="000000"/>
        </w:pBdr>
        <w:spacing w:before="0" w:beforeAutospacing="0" w:after="30" w:afterAutospacing="0" w:line="30" w:lineRule="atLeast"/>
      </w:pPr>
      <w:r>
        <w:t xml:space="preserve">  </w:t>
      </w:r>
    </w:p>
    <w:tbl>
      <w:tblPr>
        <w:tblW w:w="5000" w:type="pct"/>
        <w:jc w:val="center"/>
        <w:tblCellMar>
          <w:left w:w="0" w:type="dxa"/>
          <w:right w:w="0" w:type="dxa"/>
        </w:tblCellMar>
        <w:tblLook w:val="04A0" w:firstRow="1" w:lastRow="0" w:firstColumn="1" w:lastColumn="0" w:noHBand="0" w:noVBand="1"/>
      </w:tblPr>
      <w:tblGrid>
        <w:gridCol w:w="5627"/>
        <w:gridCol w:w="563"/>
        <w:gridCol w:w="63"/>
        <w:gridCol w:w="513"/>
        <w:gridCol w:w="84"/>
        <w:gridCol w:w="563"/>
        <w:gridCol w:w="73"/>
        <w:gridCol w:w="736"/>
        <w:gridCol w:w="84"/>
      </w:tblGrid>
      <w:tr w:rsidR="00000000">
        <w:trPr>
          <w:divId w:val="901673022"/>
          <w:jc w:val="center"/>
        </w:trPr>
        <w:tc>
          <w:tcPr>
            <w:tcW w:w="3500" w:type="pct"/>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divId w:val="901673022"/>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sz w:val="15"/>
                <w:szCs w:val="15"/>
              </w:rPr>
              <w:t>Company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Country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Percentage</w:t>
            </w:r>
            <w:r>
              <w:rPr>
                <w:rFonts w:ascii="Arial" w:eastAsia="Times New Roman" w:hAnsi="Arial" w:cs="Arial"/>
                <w:b/>
                <w:bCs/>
                <w:sz w:val="15"/>
                <w:szCs w:val="15"/>
              </w:rPr>
              <w:br/>
              <w:t>owned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01673022"/>
          <w:jc w:val="center"/>
        </w:trPr>
        <w:tc>
          <w:tcPr>
            <w:tcW w:w="0" w:type="auto"/>
            <w:gridSpan w:val="8"/>
            <w:hideMark/>
          </w:tcPr>
          <w:p w:rsidR="00000000" w:rsidRDefault="003E5AFF">
            <w:pPr>
              <w:pStyle w:val="NormalWeb"/>
              <w:pBdr>
                <w:bottom w:val="single" w:sz="6" w:space="0" w:color="000000"/>
              </w:pBdr>
            </w:pPr>
            <w: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ACC Alto las Condes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44.9%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Administradora de Servicios Paris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Administradora TMO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Administradora y Comercial Puente Alto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Banco Paris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Banparis Corredores de Seguros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Cencosud Administradora de Procesos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Cencosud Administradora de Tarjetas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Cencosud Internacional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Cencosud Retail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Cencosud Servicios Integrales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Cencosud Shopping Centers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Cencosud Tiendas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Circulo M_s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Comercial Food and Fantasy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Costanera Center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Easy Administradora Norte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Easy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Eurofashion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Inmobiliaria Bilbao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Inmobiliaria Santa Isabel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Inversiones Don Alberto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Inversiones Don Alberto II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Johnson_s Mega San Bernardo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Jumbo Administradora Norte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Jumbo Administradora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Jumbo Administradora Temuco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Logistica y Distribuci_n Paris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MegaJohnson_s La Serena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MegaJohnson_s Maipu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MegaJohnson_s Puente Alto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MegaJohnson_s Puente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MegaJohnson_s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MegaJohnson_s Vina del Mar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MegaJohnson_s Quilin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Meldar Capacitaci_n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85.6%</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Mercado Mayorista P y P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Paris Administradora Centro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Paris Administradora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Paris Administradora Sur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Paris Administradora Norte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Paris Corredores de Seguros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Retail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Santa Isabel Administradora Norte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Santa Isabel Administradora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Santa Isabel Administradora Sur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Sociedad Comercial de Tiendas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hideMark/>
          </w:tcPr>
          <w:p w:rsidR="00000000" w:rsidRDefault="003E5AFF">
            <w:pPr>
              <w:pStyle w:val="NormalWeb"/>
              <w:ind w:left="240" w:hanging="240"/>
            </w:pPr>
            <w:r>
              <w:rPr>
                <w:rFonts w:ascii="Arial" w:hAnsi="Arial" w:cs="Arial"/>
                <w:sz w:val="15"/>
                <w:szCs w:val="15"/>
              </w:rPr>
              <w:t>Sociedad Comercializadora de Vestuario FES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85.7%</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divId w:val="901673022"/>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Viajes Paris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Chile</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bl>
    <w:tbl>
      <w:tblPr>
        <w:tblW w:w="5000" w:type="pct"/>
        <w:jc w:val="center"/>
        <w:tblCellMar>
          <w:left w:w="0" w:type="dxa"/>
          <w:right w:w="0" w:type="dxa"/>
        </w:tblCellMar>
        <w:tblLook w:val="04A0" w:firstRow="1" w:lastRow="0" w:firstColumn="1" w:lastColumn="0" w:noHBand="0" w:noVBand="1"/>
      </w:tblPr>
      <w:tblGrid>
        <w:gridCol w:w="5647"/>
        <w:gridCol w:w="249"/>
        <w:gridCol w:w="55"/>
        <w:gridCol w:w="836"/>
        <w:gridCol w:w="109"/>
        <w:gridCol w:w="249"/>
        <w:gridCol w:w="81"/>
        <w:gridCol w:w="971"/>
        <w:gridCol w:w="109"/>
      </w:tblGrid>
      <w:tr w:rsidR="00000000">
        <w:trPr>
          <w:jc w:val="center"/>
        </w:trPr>
        <w:tc>
          <w:tcPr>
            <w:tcW w:w="340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vAlign w:val="bottom"/>
            <w:hideMark/>
          </w:tcPr>
          <w:p w:rsidR="00000000" w:rsidRDefault="003E5AFF">
            <w:pPr>
              <w:rPr>
                <w:rFonts w:eastAsia="Times New Roman" w:cs="Times New Roman"/>
              </w:rPr>
            </w:pPr>
            <w:r>
              <w:rPr>
                <w:rFonts w:ascii="Arial" w:eastAsia="Times New Roman" w:hAnsi="Arial" w:cs="Arial"/>
                <w:b/>
                <w:bCs/>
                <w:sz w:val="15"/>
                <w:szCs w:val="15"/>
              </w:rPr>
              <w:t>Company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Country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sz w:val="15"/>
                <w:szCs w:val="15"/>
              </w:rPr>
              <w:t>Percentage</w:t>
            </w:r>
            <w:r>
              <w:rPr>
                <w:rFonts w:ascii="Arial" w:eastAsia="Times New Roman" w:hAnsi="Arial" w:cs="Arial"/>
                <w:b/>
                <w:bCs/>
                <w:sz w:val="15"/>
                <w:szCs w:val="15"/>
              </w:rPr>
              <w:br/>
              <w:t>owned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8"/>
            <w:hideMark/>
          </w:tcPr>
          <w:p w:rsidR="00000000" w:rsidRDefault="003E5AFF">
            <w:pPr>
              <w:pStyle w:val="NormalWeb"/>
              <w:pBdr>
                <w:bottom w:val="single" w:sz="6" w:space="0" w:color="000000"/>
              </w:pBdr>
            </w:pPr>
            <w: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Agrojumbo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87.4%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Agropecuaria Anjullon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62.0%</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Blaisten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Cavas y Vi_as El Acequion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61.6%</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Cencosud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Cencosud Viajes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Corminas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sz w:val="15"/>
                <w:szCs w:val="15"/>
              </w:rPr>
              <w:t>79.8%</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Invor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w:t>
            </w:r>
          </w:p>
        </w:tc>
        <w:tc>
          <w:tcPr>
            <w:tcW w:w="0" w:type="auto"/>
            <w:hideMark/>
          </w:tcPr>
          <w:p w:rsidR="00000000" w:rsidRDefault="003E5AFF">
            <w:pPr>
              <w:jc w:val="right"/>
              <w:rPr>
                <w:rFonts w:eastAsia="Times New Roman" w:cs="Times New Roman"/>
              </w:rPr>
            </w:pPr>
            <w:r>
              <w:rPr>
                <w:rFonts w:ascii="Arial" w:eastAsia="Times New Roman" w:hAnsi="Arial" w:cs="Arial"/>
                <w:sz w:val="15"/>
                <w:szCs w:val="15"/>
              </w:rPr>
              <w:t>61.4%</w:t>
            </w:r>
          </w:p>
        </w:tc>
        <w:tc>
          <w:tcPr>
            <w:tcW w:w="0" w:type="auto"/>
            <w:noWrap/>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Jumbo Retail Argentina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61.4%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Pacuy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61.4%</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Supermercados Dave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79.6%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Unicenter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Argentina</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SUDCO Servicios Regionales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Uruguay</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100.0%</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Easy Colombia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Colombia</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Cencosud Brasil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Brazil</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GBarbosa Comercial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Brazil</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GBarbosa Holding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Brazil</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Mercantil Rodriguez Comercial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Brazil</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Perini Comercial de Alimentos Ltda.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Brazil</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Prezunic Comercial Ltda.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Brazil</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GBarbosa Holding LLC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U.S.</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Almacenes Metro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Cencosud Per_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Cinco Robles SAC</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E. Wong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Hipermercados Metro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ISMB Supermercado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Las Hadas Inversionistas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Teledistribuci_n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Travel Interntional Partners Peru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pStyle w:val="NormalWeb"/>
              <w:ind w:left="240" w:hanging="240"/>
            </w:pPr>
            <w:r>
              <w:rPr>
                <w:rFonts w:ascii="Arial" w:hAnsi="Arial" w:cs="Arial"/>
                <w:sz w:val="15"/>
                <w:szCs w:val="15"/>
              </w:rPr>
              <w:t>Tres Palmeras 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Banco Cencosud S.A.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Peru</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99.9%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r w:rsidR="00000000">
        <w:trPr>
          <w:jc w:val="center"/>
        </w:trPr>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sz w:val="15"/>
                <w:szCs w:val="15"/>
              </w:rPr>
              <w:t>Cencosud (Shanghai) Trading Co., Ltd.</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China</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sz w:val="15"/>
                <w:szCs w:val="15"/>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sz w:val="15"/>
                <w:szCs w:val="15"/>
              </w:rPr>
              <w:t>100.0%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sz w:val="15"/>
                <w:szCs w:val="15"/>
              </w:rPr>
              <w:t>  </w:t>
            </w:r>
          </w:p>
        </w:tc>
      </w:tr>
    </w:tbl>
    <w:p w:rsidR="00000000" w:rsidRDefault="003E5AFF">
      <w:pPr>
        <w:divId w:val="196355365"/>
        <w:rPr>
          <w:rFonts w:eastAsia="Times New Roman" w:cs="Times New Roman"/>
          <w:sz w:val="2"/>
          <w:szCs w:val="2"/>
        </w:rPr>
      </w:pPr>
      <w:r>
        <w:rPr>
          <w:rFonts w:eastAsia="Times New Roman" w:cs="Times New Roman"/>
          <w:sz w:val="2"/>
          <w:szCs w:val="2"/>
        </w:rPr>
        <w:t> </w:t>
      </w:r>
    </w:p>
    <w:p w:rsidR="00000000" w:rsidRDefault="003E5AFF">
      <w:pPr>
        <w:pStyle w:val="NormalWeb"/>
        <w:spacing w:before="0" w:beforeAutospacing="0" w:after="0" w:afterAutospacing="0"/>
        <w:rPr>
          <w:sz w:val="6"/>
          <w:szCs w:val="6"/>
        </w:rPr>
      </w:pPr>
      <w:r>
        <w:rPr>
          <w:sz w:val="6"/>
          <w:szCs w:val="6"/>
        </w:rPr>
        <w:t> </w:t>
      </w:r>
    </w:p>
    <w:p w:rsidR="00000000" w:rsidRDefault="003E5AFF">
      <w:pPr>
        <w:pStyle w:val="NormalWeb"/>
        <w:pBdr>
          <w:bottom w:val="single" w:sz="4" w:space="0" w:color="000000"/>
        </w:pBdr>
        <w:spacing w:before="0" w:beforeAutospacing="0" w:after="30" w:afterAutospacing="0" w:line="45" w:lineRule="atLeast"/>
      </w:pPr>
      <w:r>
        <w: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- 221 - </w:t>
      </w:r>
    </w:p>
    <w:p w:rsidR="00000000" w:rsidRDefault="003E5AFF">
      <w:pPr>
        <w:rPr>
          <w:rFonts w:eastAsia="Times New Roman" w:cs="Times New Roman"/>
        </w:rPr>
      </w:pPr>
      <w:r>
        <w:rPr>
          <w:rFonts w:eastAsia="Times New Roman" w:cs="Times New Roman"/>
        </w:rPr>
        <w:pict>
          <v:rect id="_x0000_i1258" style="width:441.9pt;height:3pt" o:hralign="center" o:hrstd="t" o:hrnoshade="t" o:hr="t" fillcolor="#999" stroked="f"/>
        </w:pict>
      </w:r>
    </w:p>
    <w:p w:rsidR="00000000" w:rsidRDefault="003E5AFF">
      <w:pPr>
        <w:pStyle w:val="Heading5"/>
        <w:rPr>
          <w:rFonts w:eastAsia="Times New Roman" w:cs="Times New Roman"/>
        </w:rPr>
      </w:pPr>
      <w:hyperlink r:id="rId27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Employees </w:t>
      </w:r>
    </w:p>
    <w:p w:rsidR="00000000" w:rsidRDefault="003E5AFF">
      <w:pPr>
        <w:pStyle w:val="NormalWeb"/>
        <w:spacing w:before="12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At Marc</w:t>
      </w:r>
      <w:r>
        <w:rPr>
          <w:rFonts w:ascii="Arial" w:hAnsi="Arial" w:cs="Arial"/>
        </w:rPr>
        <w:t>h 31, 2012, we had a total of 139,082 employees, of which 44.7% were in Chile, 18.6% in Argentina, 10.3% in Peru, 26.0% in Brazil and less than 0.4% in Colombia. Approximately 43.1% of our store employees were represented by unions under several collective</w:t>
      </w:r>
      <w:r>
        <w:rPr>
          <w:rFonts w:ascii="Arial" w:hAnsi="Arial" w:cs="Arial"/>
        </w:rPr>
        <w:t xml:space="preserve"> bargaining agreements. </w:t>
      </w:r>
    </w:p>
    <w:p w:rsidR="00000000" w:rsidRDefault="003E5AFF">
      <w:pPr>
        <w:pStyle w:val="NormalWeb"/>
        <w:spacing w:before="120" w:beforeAutospacing="0" w:after="0" w:afterAutospacing="0"/>
      </w:pPr>
      <w:r>
        <w:rPr>
          <w:rFonts w:ascii="Arial" w:hAnsi="Arial" w:cs="Arial"/>
        </w:rPr>
        <w:t xml:space="preserve">We operate a merit-based bonus program for our managers both at the headquarters and store levels as well as for department heads at each store. In </w:t>
      </w:r>
      <w:r>
        <w:rPr>
          <w:rFonts w:ascii="Arial" w:hAnsi="Arial" w:cs="Arial"/>
        </w:rPr>
        <w:t>general, the bonus fluctuates between one and six monthly salaries and is determined in accordance with clearly defined criteria, including our overall performance, the performance of the employee_s store, the employee_s performance relative to specific ta</w:t>
      </w:r>
      <w:r>
        <w:rPr>
          <w:rFonts w:ascii="Arial" w:hAnsi="Arial" w:cs="Arial"/>
        </w:rPr>
        <w:t xml:space="preserve">rgets established at the beginning of the year and more subjective standards such as fostering an open, constructive working environment. </w:t>
      </w:r>
    </w:p>
    <w:p w:rsidR="00000000" w:rsidRDefault="003E5AFF">
      <w:pPr>
        <w:pStyle w:val="NormalWeb"/>
        <w:spacing w:before="240" w:beforeAutospacing="0" w:after="0" w:afterAutospacing="0"/>
      </w:pPr>
      <w:r>
        <w:rPr>
          <w:rFonts w:ascii="Arial" w:hAnsi="Arial" w:cs="Arial"/>
          <w:b/>
          <w:bCs/>
          <w:i/>
          <w:iCs/>
        </w:rPr>
        <w:t xml:space="preserve">Chile </w:t>
      </w:r>
    </w:p>
    <w:p w:rsidR="00000000" w:rsidRDefault="003E5AFF">
      <w:pPr>
        <w:pStyle w:val="NormalWeb"/>
        <w:spacing w:before="120" w:beforeAutospacing="0" w:after="0" w:afterAutospacing="0"/>
      </w:pPr>
      <w:r>
        <w:rPr>
          <w:rFonts w:ascii="Arial" w:hAnsi="Arial" w:cs="Arial"/>
        </w:rPr>
        <w:t>At March 31, 2012, we had a total of 62,172 employees in Chile. Of these employees, 55,791 were employed in ou</w:t>
      </w:r>
      <w:r>
        <w:rPr>
          <w:rFonts w:ascii="Arial" w:hAnsi="Arial" w:cs="Arial"/>
        </w:rPr>
        <w:t xml:space="preserve">r stores, 2,814 were employed in the distribution facilities (our distribution center, warehouses and transportation), and 3,567 were employed in our headquarters. </w:t>
      </w:r>
    </w:p>
    <w:p w:rsidR="00000000" w:rsidRDefault="003E5AFF">
      <w:pPr>
        <w:pStyle w:val="NormalWeb"/>
        <w:spacing w:before="120" w:beforeAutospacing="0" w:after="0" w:afterAutospacing="0"/>
      </w:pPr>
      <w:r>
        <w:rPr>
          <w:rFonts w:ascii="Arial" w:hAnsi="Arial" w:cs="Arial"/>
        </w:rPr>
        <w:t>At March 31, 2012, approximately 53.3% of our Chile employees were represented by 108 indep</w:t>
      </w:r>
      <w:r>
        <w:rPr>
          <w:rFonts w:ascii="Arial" w:hAnsi="Arial" w:cs="Arial"/>
        </w:rPr>
        <w:t xml:space="preserve">endent unions currently party to 93 different collective bargaining contracts. In addition, some of these independent unions have collective contracts with non-unionized employees of the company which generally have a term of two to four years. </w:t>
      </w:r>
    </w:p>
    <w:p w:rsidR="00000000" w:rsidRDefault="003E5AFF">
      <w:pPr>
        <w:pStyle w:val="NormalWeb"/>
        <w:spacing w:before="120" w:beforeAutospacing="0" w:after="0" w:afterAutospacing="0"/>
      </w:pPr>
      <w:r>
        <w:rPr>
          <w:rFonts w:ascii="Arial" w:hAnsi="Arial" w:cs="Arial"/>
        </w:rPr>
        <w:t xml:space="preserve">Our Chile </w:t>
      </w:r>
      <w:r>
        <w:rPr>
          <w:rFonts w:ascii="Arial" w:hAnsi="Arial" w:cs="Arial"/>
        </w:rPr>
        <w:t>employees receive benefits established by the collective bargaining agreements and salaries in accordance with our own policies, benefits provided for by Chilean law (including disability insurance) and certain additional benefits provided by us. Among the</w:t>
      </w:r>
      <w:r>
        <w:rPr>
          <w:rFonts w:ascii="Arial" w:hAnsi="Arial" w:cs="Arial"/>
        </w:rPr>
        <w:t xml:space="preserve">se benefits, we provide educational training for our employees and opportunities for their families (including educational scholarships for children of employees). </w:t>
      </w:r>
    </w:p>
    <w:p w:rsidR="00000000" w:rsidRDefault="003E5AFF">
      <w:pPr>
        <w:pStyle w:val="NormalWeb"/>
        <w:spacing w:before="240" w:beforeAutospacing="0" w:after="0" w:afterAutospacing="0"/>
      </w:pPr>
      <w:r>
        <w:rPr>
          <w:rFonts w:ascii="Arial" w:hAnsi="Arial" w:cs="Arial"/>
          <w:b/>
          <w:bCs/>
          <w:i/>
          <w:iCs/>
        </w:rPr>
        <w:t xml:space="preserve">Argentina </w:t>
      </w:r>
    </w:p>
    <w:p w:rsidR="00000000" w:rsidRDefault="003E5AFF">
      <w:pPr>
        <w:pStyle w:val="NormalWeb"/>
        <w:spacing w:before="120" w:beforeAutospacing="0" w:after="0" w:afterAutospacing="0"/>
      </w:pPr>
      <w:r>
        <w:rPr>
          <w:rFonts w:ascii="Arial" w:hAnsi="Arial" w:cs="Arial"/>
        </w:rPr>
        <w:t>At March 31, 2012, we had a total of 25,813 employees in Argentina. Of these emp</w:t>
      </w:r>
      <w:r>
        <w:rPr>
          <w:rFonts w:ascii="Arial" w:hAnsi="Arial" w:cs="Arial"/>
        </w:rPr>
        <w:t xml:space="preserve">loyees, 22,652 were employed in our stores, 1,281 were employed in the distribution facilities (the distribution center, warehouses and transportation), and 1,880 were employed in the headquarters. </w:t>
      </w:r>
    </w:p>
    <w:p w:rsidR="00000000" w:rsidRDefault="003E5AFF">
      <w:pPr>
        <w:pStyle w:val="NormalWeb"/>
        <w:spacing w:before="120" w:beforeAutospacing="0" w:after="0" w:afterAutospacing="0"/>
      </w:pPr>
      <w:r>
        <w:rPr>
          <w:rFonts w:ascii="Arial" w:hAnsi="Arial" w:cs="Arial"/>
        </w:rPr>
        <w:t xml:space="preserve">At March 31, 2012, approximately 85.8% of our Argentina employees were under a single collective bargaining agreement with the </w:t>
      </w:r>
      <w:r>
        <w:rPr>
          <w:rFonts w:ascii="Arial" w:hAnsi="Arial" w:cs="Arial"/>
          <w:i/>
          <w:iCs/>
        </w:rPr>
        <w:t>Sindicato de Comercio</w:t>
      </w:r>
      <w:r>
        <w:rPr>
          <w:rFonts w:ascii="Arial" w:hAnsi="Arial" w:cs="Arial"/>
        </w:rPr>
        <w:t xml:space="preserve"> (_Commerce Union_), but only 50.0% of such employees are members of the Commerce Union. There is only one c</w:t>
      </w:r>
      <w:r>
        <w:rPr>
          <w:rFonts w:ascii="Arial" w:hAnsi="Arial" w:cs="Arial"/>
        </w:rPr>
        <w:t xml:space="preserve">ollective bargaining agreement (mandatory by law) for all the non-management employees which has been in effect since 1975. We have experienced two strikes at our Jumbo stores, each lasting less than one day. However, none of these strikes have materially </w:t>
      </w:r>
      <w:r>
        <w:rPr>
          <w:rFonts w:ascii="Arial" w:hAnsi="Arial" w:cs="Arial"/>
        </w:rPr>
        <w:t xml:space="preserve">affected our overall operations. </w:t>
      </w:r>
    </w:p>
    <w:p w:rsidR="00000000" w:rsidRDefault="003E5AFF">
      <w:pPr>
        <w:pStyle w:val="NormalWeb"/>
        <w:spacing w:before="120" w:beforeAutospacing="0" w:after="0" w:afterAutospacing="0"/>
      </w:pPr>
      <w:r>
        <w:rPr>
          <w:rFonts w:ascii="Arial" w:hAnsi="Arial" w:cs="Arial"/>
        </w:rPr>
        <w:t>Our Argentina employees receive benefits established by this collective bargaining agreement and salaries established according to our policies, benefits provided for by Argentinean law (including disability insurance) and</w:t>
      </w:r>
      <w:r>
        <w:rPr>
          <w:rFonts w:ascii="Arial" w:hAnsi="Arial" w:cs="Arial"/>
        </w:rPr>
        <w:t xml:space="preserve"> certain additional benefits provided by us, including educational training.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- 222 - </w:t>
      </w:r>
    </w:p>
    <w:p w:rsidR="00000000" w:rsidRDefault="003E5AFF">
      <w:pPr>
        <w:rPr>
          <w:rFonts w:eastAsia="Times New Roman" w:cs="Times New Roman"/>
        </w:rPr>
      </w:pPr>
      <w:r>
        <w:rPr>
          <w:rFonts w:eastAsia="Times New Roman" w:cs="Times New Roman"/>
        </w:rPr>
        <w:pict>
          <v:rect id="_x0000_i1259" style="width:441.9pt;height:3pt" o:hralign="center" o:hrstd="t" o:hrnoshade="t" o:hr="t" fillcolor="#999" stroked="f"/>
        </w:pict>
      </w:r>
    </w:p>
    <w:p w:rsidR="00000000" w:rsidRDefault="003E5AFF">
      <w:pPr>
        <w:pStyle w:val="Heading5"/>
        <w:rPr>
          <w:rFonts w:eastAsia="Times New Roman" w:cs="Times New Roman"/>
        </w:rPr>
      </w:pPr>
      <w:hyperlink r:id="rId27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Brazil </w:t>
      </w:r>
    </w:p>
    <w:p w:rsidR="00000000" w:rsidRDefault="003E5AFF">
      <w:pPr>
        <w:pStyle w:val="NormalWeb"/>
        <w:spacing w:before="120" w:beforeAutospacing="0" w:after="0" w:afterAutospacing="0"/>
      </w:pPr>
      <w:r>
        <w:rPr>
          <w:rFonts w:ascii="Arial" w:hAnsi="Arial" w:cs="Arial"/>
        </w:rPr>
        <w:t xml:space="preserve">At March 31, 2012, we had a total of 36,138 employees in Brazil. Of these employees 32,686 were employed in our stores, 1,829 were employed in the distribution </w:t>
      </w:r>
      <w:r>
        <w:rPr>
          <w:rFonts w:ascii="Arial" w:hAnsi="Arial" w:cs="Arial"/>
        </w:rPr>
        <w:t xml:space="preserve">facilities (the distribution center, warehouses and transportation), and 1,623 were employed in the headquarters. </w:t>
      </w:r>
    </w:p>
    <w:p w:rsidR="00000000" w:rsidRDefault="003E5AFF">
      <w:pPr>
        <w:pStyle w:val="NormalWeb"/>
        <w:spacing w:before="120" w:beforeAutospacing="0" w:after="0" w:afterAutospacing="0"/>
      </w:pPr>
      <w:r>
        <w:rPr>
          <w:rFonts w:ascii="Arial" w:hAnsi="Arial" w:cs="Arial"/>
        </w:rPr>
        <w:t>Our employees in Brazil are represented by different trade unions. Although less than 3.9% of our employees are affiliated with these trade u</w:t>
      </w:r>
      <w:r>
        <w:rPr>
          <w:rFonts w:ascii="Arial" w:hAnsi="Arial" w:cs="Arial"/>
        </w:rPr>
        <w:t>nions, all employees are entitled to the benefits set forth in our collective labor agreements, as determined by applicable labor legislation. We believe that all 10 of the largest supermarket chains in Brazil are bound by the same collective labor agreeme</w:t>
      </w:r>
      <w:r>
        <w:rPr>
          <w:rFonts w:ascii="Arial" w:hAnsi="Arial" w:cs="Arial"/>
        </w:rPr>
        <w:t xml:space="preserve">nts entered into with their respective trade unions. We believe that we have a good relationship with our employees and related trade unions, and our Brazilian operations have not recorded any significant strikes or stoppages over the last three years. </w:t>
      </w:r>
    </w:p>
    <w:p w:rsidR="00000000" w:rsidRDefault="003E5AFF">
      <w:pPr>
        <w:pStyle w:val="NormalWeb"/>
        <w:spacing w:before="240" w:beforeAutospacing="0" w:after="0" w:afterAutospacing="0"/>
      </w:pPr>
      <w:r>
        <w:rPr>
          <w:rFonts w:ascii="Arial" w:hAnsi="Arial" w:cs="Arial"/>
          <w:b/>
          <w:bCs/>
          <w:i/>
          <w:iCs/>
        </w:rPr>
        <w:t>Pe</w:t>
      </w:r>
      <w:r>
        <w:rPr>
          <w:rFonts w:ascii="Arial" w:hAnsi="Arial" w:cs="Arial"/>
          <w:b/>
          <w:bCs/>
          <w:i/>
          <w:iCs/>
        </w:rPr>
        <w:t xml:space="preserve">ru </w:t>
      </w:r>
    </w:p>
    <w:p w:rsidR="00000000" w:rsidRDefault="003E5AFF">
      <w:pPr>
        <w:pStyle w:val="NormalWeb"/>
        <w:spacing w:before="120" w:beforeAutospacing="0" w:after="0" w:afterAutospacing="0"/>
      </w:pPr>
      <w:r>
        <w:rPr>
          <w:rFonts w:ascii="Arial" w:hAnsi="Arial" w:cs="Arial"/>
        </w:rPr>
        <w:t>At March 31, 2012, we had a total of 14,387 employees in Peru. Of these employees, 12,426 were employed in our stores, 1,030 were employed in the distribution facilities (the distribution center, warehouses and transportation), and 931 were employed in</w:t>
      </w:r>
      <w:r>
        <w:rPr>
          <w:rFonts w:ascii="Arial" w:hAnsi="Arial" w:cs="Arial"/>
        </w:rPr>
        <w:t xml:space="preserve"> the headquarters. </w:t>
      </w:r>
    </w:p>
    <w:p w:rsidR="00000000" w:rsidRDefault="003E5AFF">
      <w:pPr>
        <w:pStyle w:val="NormalWeb"/>
        <w:spacing w:before="120" w:beforeAutospacing="0" w:after="0" w:afterAutospacing="0"/>
      </w:pPr>
      <w:r>
        <w:rPr>
          <w:rFonts w:ascii="Arial" w:hAnsi="Arial" w:cs="Arial"/>
        </w:rPr>
        <w:t xml:space="preserve">None of our employees in Peru are represented by unions or are party to collective bargaining agreements. We have not had any strikes that have materially affected our operations in Peru. </w:t>
      </w:r>
    </w:p>
    <w:p w:rsidR="00000000" w:rsidRDefault="003E5AFF">
      <w:pPr>
        <w:pStyle w:val="NormalWeb"/>
        <w:spacing w:before="120" w:beforeAutospacing="0" w:after="0" w:afterAutospacing="0"/>
      </w:pPr>
      <w:r>
        <w:rPr>
          <w:rFonts w:ascii="Arial" w:hAnsi="Arial" w:cs="Arial"/>
        </w:rPr>
        <w:t>Our Peru employees receive standard benefits an</w:t>
      </w:r>
      <w:r>
        <w:rPr>
          <w:rFonts w:ascii="Arial" w:hAnsi="Arial" w:cs="Arial"/>
        </w:rPr>
        <w:t>d salaries established according to our policies, benefits provided for by Peruvian law (including disability insurance) and certain additional benefits provided by us, including discounts on products purchased at our stores, educational training and certa</w:t>
      </w:r>
      <w:r>
        <w:rPr>
          <w:rFonts w:ascii="Arial" w:hAnsi="Arial" w:cs="Arial"/>
        </w:rPr>
        <w:t xml:space="preserve">in merit-based bonuses. </w:t>
      </w:r>
    </w:p>
    <w:p w:rsidR="00000000" w:rsidRDefault="003E5AFF">
      <w:pPr>
        <w:pStyle w:val="NormalWeb"/>
        <w:spacing w:before="240" w:beforeAutospacing="0" w:after="0" w:afterAutospacing="0"/>
      </w:pPr>
      <w:r>
        <w:rPr>
          <w:rFonts w:ascii="Arial" w:hAnsi="Arial" w:cs="Arial"/>
          <w:b/>
          <w:bCs/>
          <w:i/>
          <w:iCs/>
        </w:rPr>
        <w:t xml:space="preserve">Colombia </w:t>
      </w:r>
    </w:p>
    <w:p w:rsidR="00000000" w:rsidRDefault="003E5AFF">
      <w:pPr>
        <w:pStyle w:val="NormalWeb"/>
        <w:spacing w:before="120" w:beforeAutospacing="0" w:after="0" w:afterAutospacing="0"/>
      </w:pPr>
      <w:r>
        <w:rPr>
          <w:rFonts w:ascii="Arial" w:hAnsi="Arial" w:cs="Arial"/>
        </w:rPr>
        <w:t xml:space="preserve">At March 31, 2012, we had a total of 572 employees in Colombia. Of these employees, 482 were employed in our stores and 90 were employed in the headquarters. None of our employees in Colombia are represented by unions or </w:t>
      </w:r>
      <w:r>
        <w:rPr>
          <w:rFonts w:ascii="Arial" w:hAnsi="Arial" w:cs="Arial"/>
        </w:rPr>
        <w:t xml:space="preserve">are party to collective bargaining agreements. We have not had any strikes that have materially affected our operations in Colombia. </w:t>
      </w:r>
    </w:p>
    <w:p w:rsidR="00000000" w:rsidRDefault="003E5AFF">
      <w:pPr>
        <w:pStyle w:val="NormalWeb"/>
        <w:spacing w:before="120" w:beforeAutospacing="0" w:after="0" w:afterAutospacing="0"/>
      </w:pPr>
      <w:r>
        <w:rPr>
          <w:rFonts w:ascii="Arial" w:hAnsi="Arial" w:cs="Arial"/>
        </w:rPr>
        <w:t>Our Colombia employees receive standard benefits and salaries established according to our policies, benefits provided for</w:t>
      </w:r>
      <w:r>
        <w:rPr>
          <w:rFonts w:ascii="Arial" w:hAnsi="Arial" w:cs="Arial"/>
        </w:rPr>
        <w:t xml:space="preserve"> by Colombia law (including disability insurance) and certain additional benefits provided by us, including discounts on products purchased at our stores and educational training for our employees. </w:t>
      </w:r>
    </w:p>
    <w:p w:rsidR="00000000" w:rsidRDefault="003E5AFF">
      <w:pPr>
        <w:pStyle w:val="NormalWeb"/>
        <w:spacing w:before="240" w:beforeAutospacing="0" w:after="0" w:afterAutospacing="0"/>
      </w:pPr>
      <w:r>
        <w:rPr>
          <w:rFonts w:ascii="Arial" w:hAnsi="Arial" w:cs="Arial"/>
          <w:b/>
          <w:bCs/>
          <w:i/>
          <w:iCs/>
        </w:rPr>
        <w:t xml:space="preserve">Intellectual property </w:t>
      </w:r>
    </w:p>
    <w:p w:rsidR="00000000" w:rsidRDefault="003E5AFF">
      <w:pPr>
        <w:pStyle w:val="NormalWeb"/>
        <w:spacing w:before="120" w:beforeAutospacing="0" w:after="0" w:afterAutospacing="0"/>
      </w:pPr>
      <w:r>
        <w:rPr>
          <w:rFonts w:ascii="Arial" w:hAnsi="Arial" w:cs="Arial"/>
        </w:rPr>
        <w:t xml:space="preserve">The principal trade names and service marks used in our business are </w:t>
      </w:r>
      <w:r>
        <w:rPr>
          <w:rFonts w:ascii="Arial" w:hAnsi="Arial" w:cs="Arial"/>
          <w:i/>
          <w:iCs/>
        </w:rPr>
        <w:t xml:space="preserve">Jumbo, Jumbo M_s, Easy, M_s Easy, Santa Isabel, Disco, Vea, Paris, M_s Paris, Paris Corredores de Seguros, Banco Paris, Johnson_s, Nectar, Wong, Metro, GBarbosa, </w:t>
      </w:r>
      <w:r>
        <w:rPr>
          <w:rFonts w:ascii="Arial" w:hAnsi="Arial" w:cs="Arial"/>
        </w:rPr>
        <w:t>and</w:t>
      </w:r>
      <w:r>
        <w:rPr>
          <w:rFonts w:ascii="Arial" w:hAnsi="Arial" w:cs="Arial"/>
          <w:i/>
          <w:iCs/>
        </w:rPr>
        <w:t xml:space="preserve"> Prezunic</w:t>
      </w:r>
      <w:r>
        <w:rPr>
          <w:rFonts w:ascii="Arial" w:hAnsi="Arial" w:cs="Arial"/>
        </w:rPr>
        <w:t xml:space="preserve"> among others</w:t>
      </w:r>
      <w:r>
        <w:rPr>
          <w:rFonts w:ascii="Arial" w:hAnsi="Arial" w:cs="Arial"/>
        </w:rPr>
        <w:t>, and their respective logos, covering all major Latin American markets. We own or have the rights to use the trade names and service marks and the respective logos related to all our marks. We believe that our trademarks, trade names and service marks are</w:t>
      </w:r>
      <w:r>
        <w:rPr>
          <w:rFonts w:ascii="Arial" w:hAnsi="Arial" w:cs="Arial"/>
        </w:rPr>
        <w:t xml:space="preserve"> valuable assets to us which successfully differentiate us from our competitors.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- 223 - </w:t>
      </w:r>
    </w:p>
    <w:p w:rsidR="00000000" w:rsidRDefault="003E5AFF">
      <w:pPr>
        <w:rPr>
          <w:rFonts w:eastAsia="Times New Roman" w:cs="Times New Roman"/>
        </w:rPr>
      </w:pPr>
      <w:r>
        <w:rPr>
          <w:rFonts w:eastAsia="Times New Roman" w:cs="Times New Roman"/>
        </w:rPr>
        <w:pict>
          <v:rect id="_x0000_i1260" style="width:441.9pt;height:3pt" o:hralign="center" o:hrstd="t" o:hrnoshade="t" o:hr="t" fillcolor="#999" stroked="f"/>
        </w:pict>
      </w:r>
    </w:p>
    <w:p w:rsidR="00000000" w:rsidRDefault="003E5AFF">
      <w:pPr>
        <w:pStyle w:val="Heading5"/>
        <w:rPr>
          <w:rFonts w:eastAsia="Times New Roman" w:cs="Times New Roman"/>
        </w:rPr>
      </w:pPr>
      <w:hyperlink r:id="rId27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Insurance </w:t>
      </w:r>
    </w:p>
    <w:p w:rsidR="00000000" w:rsidRDefault="003E5AFF">
      <w:pPr>
        <w:pStyle w:val="NormalWeb"/>
        <w:spacing w:before="120" w:beforeAutospacing="0" w:after="0" w:afterAutospacing="0"/>
      </w:pPr>
      <w:r>
        <w:rPr>
          <w:rFonts w:ascii="Arial" w:hAnsi="Arial" w:cs="Arial"/>
        </w:rPr>
        <w:t>We maintain insurance policies covering, among other things, fires, earthquakes, floods, acts of terrorism and general business liability. Business interruption insurance is not currently availabl</w:t>
      </w:r>
      <w:r>
        <w:rPr>
          <w:rFonts w:ascii="Arial" w:hAnsi="Arial" w:cs="Arial"/>
        </w:rPr>
        <w:t xml:space="preserve">e in Chile on terms we consider commercially attractive. Management believes that our insurance coverage is adequate for our business. </w:t>
      </w:r>
    </w:p>
    <w:p w:rsidR="00000000" w:rsidRDefault="003E5AFF">
      <w:pPr>
        <w:pStyle w:val="NormalWeb"/>
        <w:spacing w:before="240" w:beforeAutospacing="0" w:after="0" w:afterAutospacing="0"/>
      </w:pPr>
      <w:r>
        <w:rPr>
          <w:rFonts w:ascii="Arial" w:hAnsi="Arial" w:cs="Arial"/>
          <w:b/>
          <w:bCs/>
          <w:sz w:val="24"/>
          <w:szCs w:val="24"/>
        </w:rPr>
        <w:t xml:space="preserve">Legal proceedings </w:t>
      </w:r>
    </w:p>
    <w:p w:rsidR="00000000" w:rsidRDefault="003E5AFF">
      <w:pPr>
        <w:pStyle w:val="NormalWeb"/>
        <w:spacing w:before="120" w:beforeAutospacing="0" w:after="0" w:afterAutospacing="0"/>
      </w:pPr>
      <w:r>
        <w:rPr>
          <w:rFonts w:ascii="Arial" w:hAnsi="Arial" w:cs="Arial"/>
        </w:rPr>
        <w:t>We are party to certain legal proceedings in Argentina, Brazil, Chile, Colombia and Peru arising in t</w:t>
      </w:r>
      <w:r>
        <w:rPr>
          <w:rFonts w:ascii="Arial" w:hAnsi="Arial" w:cs="Arial"/>
        </w:rPr>
        <w:t xml:space="preserve">he normal course of our business, which we believe are routine in nature and incidental to the operation of our business. We do not believe that the outcome of the proceedings to which we currently are party will have a material effect upon our operations </w:t>
      </w:r>
      <w:r>
        <w:rPr>
          <w:rFonts w:ascii="Arial" w:hAnsi="Arial" w:cs="Arial"/>
        </w:rPr>
        <w:t xml:space="preserve">or financial condition. </w:t>
      </w:r>
    </w:p>
    <w:p w:rsidR="00000000" w:rsidRDefault="003E5AFF">
      <w:pPr>
        <w:pStyle w:val="NormalWeb"/>
        <w:spacing w:before="120" w:beforeAutospacing="0" w:after="0" w:afterAutospacing="0"/>
      </w:pPr>
      <w:r>
        <w:rPr>
          <w:rFonts w:ascii="Arial" w:hAnsi="Arial" w:cs="Arial"/>
        </w:rPr>
        <w:t xml:space="preserve">Our subsidiary Cencosud Administradora de Tarjetas S.A. is a defendant in a class action filed by the </w:t>
      </w:r>
      <w:r>
        <w:rPr>
          <w:rFonts w:ascii="Arial" w:hAnsi="Arial" w:cs="Arial"/>
          <w:i/>
          <w:iCs/>
        </w:rPr>
        <w:t>Servicio Nacional del Consumidor</w:t>
      </w:r>
      <w:r>
        <w:rPr>
          <w:rFonts w:ascii="Arial" w:hAnsi="Arial" w:cs="Arial"/>
        </w:rPr>
        <w:t xml:space="preserve"> (the National Consumer Protection Agency, or _SERNAC_), a Chilean government entity that enforce</w:t>
      </w:r>
      <w:r>
        <w:rPr>
          <w:rFonts w:ascii="Arial" w:hAnsi="Arial" w:cs="Arial"/>
        </w:rPr>
        <w:t xml:space="preserve">s compliance with the </w:t>
      </w:r>
      <w:r>
        <w:rPr>
          <w:rFonts w:ascii="Arial" w:hAnsi="Arial" w:cs="Arial"/>
          <w:i/>
          <w:iCs/>
        </w:rPr>
        <w:t>Ley de Protecci_n al Consumidor</w:t>
      </w:r>
      <w:r>
        <w:rPr>
          <w:rFonts w:ascii="Arial" w:hAnsi="Arial" w:cs="Arial"/>
        </w:rPr>
        <w:t xml:space="preserve"> (the Consumer Protection Law), alleging that certain cardholders did not expressly agree to an increase in the annual fee on their credit cards as required by the </w:t>
      </w:r>
      <w:r>
        <w:rPr>
          <w:rFonts w:ascii="Arial" w:hAnsi="Arial" w:cs="Arial"/>
          <w:i/>
          <w:iCs/>
        </w:rPr>
        <w:t>Ley de Protecci_n al Consumidor</w:t>
      </w:r>
      <w:r>
        <w:rPr>
          <w:rFonts w:ascii="Arial" w:hAnsi="Arial" w:cs="Arial"/>
        </w:rPr>
        <w:t>. The ca</w:t>
      </w:r>
      <w:r>
        <w:rPr>
          <w:rFonts w:ascii="Arial" w:hAnsi="Arial" w:cs="Arial"/>
        </w:rPr>
        <w:t xml:space="preserve">se is currently pending before the Supreme Court of Chile. Based on management_s assessment, we do not believe that the outcome of this litigation will have a material effect upon our operations or financial condition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- 224 - </w:t>
      </w:r>
    </w:p>
    <w:p w:rsidR="00000000" w:rsidRDefault="003E5AFF">
      <w:pPr>
        <w:rPr>
          <w:rFonts w:eastAsia="Times New Roman" w:cs="Times New Roman"/>
        </w:rPr>
      </w:pPr>
      <w:r>
        <w:rPr>
          <w:rFonts w:eastAsia="Times New Roman" w:cs="Times New Roman"/>
        </w:rPr>
        <w:pict>
          <v:rect id="_x0000_i1261" style="width:441.9pt;height:3pt" o:hralign="center" o:hrstd="t" o:hrnoshade="t" o:hr="t" fillcolor="#999" stroked="f"/>
        </w:pict>
      </w:r>
    </w:p>
    <w:p w:rsidR="00000000" w:rsidRDefault="003E5AFF">
      <w:pPr>
        <w:pStyle w:val="Heading5"/>
        <w:rPr>
          <w:rFonts w:eastAsia="Times New Roman" w:cs="Times New Roman"/>
        </w:rPr>
      </w:pPr>
      <w:hyperlink r:id="rId27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21" w:name="rom343004_20"/>
      <w:bookmarkEnd w:id="21"/>
      <w:r>
        <w:rPr>
          <w:rFonts w:ascii="Arial" w:hAnsi="Arial" w:cs="Arial"/>
          <w:b/>
          <w:bCs/>
          <w:sz w:val="36"/>
          <w:szCs w:val="36"/>
        </w:rPr>
        <w:t>Regulatory and environmenta</w:t>
      </w:r>
      <w:r>
        <w:rPr>
          <w:rFonts w:ascii="Arial" w:hAnsi="Arial" w:cs="Arial"/>
          <w:b/>
          <w:bCs/>
          <w:sz w:val="36"/>
          <w:szCs w:val="36"/>
        </w:rPr>
        <w:t xml:space="preserve">l overview </w:t>
      </w:r>
    </w:p>
    <w:p w:rsidR="00000000" w:rsidRDefault="003E5AFF">
      <w:pPr>
        <w:pStyle w:val="NormalWeb"/>
        <w:spacing w:before="120" w:beforeAutospacing="0" w:after="0" w:afterAutospacing="0"/>
      </w:pPr>
      <w:r>
        <w:rPr>
          <w:rFonts w:ascii="Arial" w:hAnsi="Arial" w:cs="Arial"/>
        </w:rPr>
        <w:t>In each of Argentina, Brazil, Chile, Colombia and Peru, we are subject to the full range of governmental regulation and supervision generally applicable to companies engaged in business in each country, including labor laws, social security law</w:t>
      </w:r>
      <w:r>
        <w:rPr>
          <w:rFonts w:ascii="Arial" w:hAnsi="Arial" w:cs="Arial"/>
        </w:rPr>
        <w:t>s, public health, consumer protection and environmental laws, securities laws and antitrust laws. These include regulations to ensure sanitary and safe conditions in facilities for the sale and distribution of foodstuffs and requirements to obtain construc</w:t>
      </w:r>
      <w:r>
        <w:rPr>
          <w:rFonts w:ascii="Arial" w:hAnsi="Arial" w:cs="Arial"/>
        </w:rPr>
        <w:t xml:space="preserve">tion permits for our new facilities. We believe that we are in compliance in all material respects with all applicable statutory and administrative regulations with respect to our business in each of the countries in which we operate, including applicable </w:t>
      </w:r>
      <w:r>
        <w:rPr>
          <w:rFonts w:ascii="Arial" w:hAnsi="Arial" w:cs="Arial"/>
        </w:rPr>
        <w:t xml:space="preserve">environmental regulations. </w:t>
      </w:r>
    </w:p>
    <w:p w:rsidR="00000000" w:rsidRDefault="003E5AFF">
      <w:pPr>
        <w:pStyle w:val="NormalWeb"/>
        <w:spacing w:before="120" w:beforeAutospacing="0" w:after="0" w:afterAutospacing="0"/>
      </w:pPr>
      <w:r>
        <w:rPr>
          <w:rFonts w:ascii="Arial" w:hAnsi="Arial" w:cs="Arial"/>
        </w:rPr>
        <w:t>The regulation of matters relating to the protection of the environment is not as well developed in Argentina, Brazil, Chile, Colombia and Peru as in the United States and certain other countries. Accordingly, we anticipate that</w:t>
      </w:r>
      <w:r>
        <w:rPr>
          <w:rFonts w:ascii="Arial" w:hAnsi="Arial" w:cs="Arial"/>
        </w:rPr>
        <w:t xml:space="preserve"> additional laws and regulations will be enacted over time in these countries with respect to environmental matters. We believe that there are no material judicial or administrative proceedings pending against us with respect to any environmental matter an</w:t>
      </w:r>
      <w:r>
        <w:rPr>
          <w:rFonts w:ascii="Arial" w:hAnsi="Arial" w:cs="Arial"/>
        </w:rPr>
        <w:t>d that we are in compliance in all material respects with all applicable environmental regulations in Argentina, Brazil, Chile, Colombia and Peru. We cannot assure you that future legislative or regulatory developments will not impose restrictions on us th</w:t>
      </w:r>
      <w:r>
        <w:rPr>
          <w:rFonts w:ascii="Arial" w:hAnsi="Arial" w:cs="Arial"/>
        </w:rPr>
        <w:t xml:space="preserve">at would be material. </w:t>
      </w:r>
    </w:p>
    <w:p w:rsidR="00000000" w:rsidRDefault="003E5AFF">
      <w:pPr>
        <w:pStyle w:val="NormalWeb"/>
        <w:spacing w:before="240" w:beforeAutospacing="0" w:after="0" w:afterAutospacing="0"/>
      </w:pPr>
      <w:r>
        <w:rPr>
          <w:rFonts w:ascii="Arial" w:hAnsi="Arial" w:cs="Arial"/>
          <w:b/>
          <w:bCs/>
          <w:sz w:val="24"/>
          <w:szCs w:val="24"/>
        </w:rPr>
        <w:t xml:space="preserve">Chile </w:t>
      </w:r>
    </w:p>
    <w:p w:rsidR="00000000" w:rsidRDefault="003E5AFF">
      <w:pPr>
        <w:pStyle w:val="NormalWeb"/>
        <w:spacing w:before="120" w:beforeAutospacing="0" w:after="0" w:afterAutospacing="0"/>
      </w:pPr>
      <w:r>
        <w:rPr>
          <w:rFonts w:ascii="Arial" w:hAnsi="Arial" w:cs="Arial"/>
        </w:rPr>
        <w:t xml:space="preserve">We and all of our subsidiaries with operations in Chile are subject to the </w:t>
      </w:r>
      <w:r>
        <w:rPr>
          <w:rFonts w:ascii="Arial" w:hAnsi="Arial" w:cs="Arial"/>
          <w:i/>
          <w:iCs/>
        </w:rPr>
        <w:t>Ley de Protecci_n al Consumidor</w:t>
      </w:r>
      <w:r>
        <w:rPr>
          <w:rFonts w:ascii="Arial" w:hAnsi="Arial" w:cs="Arial"/>
        </w:rPr>
        <w:t xml:space="preserve"> (the Consumer Protection Law). Compliance with the </w:t>
      </w:r>
      <w:r>
        <w:rPr>
          <w:rFonts w:ascii="Arial" w:hAnsi="Arial" w:cs="Arial"/>
          <w:i/>
          <w:iCs/>
        </w:rPr>
        <w:t>Ley de Protecci_n al Consumidor</w:t>
      </w:r>
      <w:r>
        <w:rPr>
          <w:rFonts w:ascii="Arial" w:hAnsi="Arial" w:cs="Arial"/>
        </w:rPr>
        <w:t xml:space="preserve"> is enforced by SERNAC. Other than as</w:t>
      </w:r>
      <w:r>
        <w:rPr>
          <w:rFonts w:ascii="Arial" w:hAnsi="Arial" w:cs="Arial"/>
        </w:rPr>
        <w:t xml:space="preserve"> described in _Business_Legal Proceedings,_ we do not have any material proceedings arising from the </w:t>
      </w:r>
      <w:r>
        <w:rPr>
          <w:rFonts w:ascii="Arial" w:hAnsi="Arial" w:cs="Arial"/>
          <w:i/>
          <w:iCs/>
        </w:rPr>
        <w:t>Ley de Protecci_n al Consumidor</w:t>
      </w:r>
      <w:r>
        <w:rPr>
          <w:rFonts w:ascii="Arial" w:hAnsi="Arial" w:cs="Arial"/>
        </w:rPr>
        <w:t xml:space="preserve">, and we believe we are in compliance with all material aspects of such law. </w:t>
      </w:r>
    </w:p>
    <w:p w:rsidR="00000000" w:rsidRDefault="003E5AFF">
      <w:pPr>
        <w:pStyle w:val="NormalWeb"/>
        <w:spacing w:before="120" w:beforeAutospacing="0" w:after="0" w:afterAutospacing="0"/>
      </w:pPr>
      <w:r>
        <w:rPr>
          <w:rFonts w:ascii="Arial" w:hAnsi="Arial" w:cs="Arial"/>
        </w:rPr>
        <w:t xml:space="preserve">Our supermarkets are subject to inspection by the </w:t>
      </w:r>
      <w:r>
        <w:rPr>
          <w:rFonts w:ascii="Arial" w:hAnsi="Arial" w:cs="Arial"/>
          <w:i/>
          <w:iCs/>
        </w:rPr>
        <w:t>Servicio National de Salud</w:t>
      </w:r>
      <w:r>
        <w:rPr>
          <w:rFonts w:ascii="Arial" w:hAnsi="Arial" w:cs="Arial"/>
        </w:rPr>
        <w:t xml:space="preserve"> (the National Health Service, or _SNS_) which inspects supermarkets on a regular basis and takes samples for analysis. We regularly hire a private inspection company to undertake </w:t>
      </w:r>
      <w:r>
        <w:rPr>
          <w:rFonts w:ascii="Arial" w:hAnsi="Arial" w:cs="Arial"/>
        </w:rPr>
        <w:t xml:space="preserve">private inspections of our facilities to ensure that they meet or surpass all Chilean health standards. Our supermarkets are also subject to inspection by the </w:t>
      </w:r>
      <w:r>
        <w:rPr>
          <w:rFonts w:ascii="Arial" w:hAnsi="Arial" w:cs="Arial"/>
          <w:i/>
          <w:iCs/>
        </w:rPr>
        <w:t>Servicio Agr_cola y Ganadero</w:t>
      </w:r>
      <w:r>
        <w:rPr>
          <w:rFonts w:ascii="Arial" w:hAnsi="Arial" w:cs="Arial"/>
        </w:rPr>
        <w:t xml:space="preserve"> (the Agricultural and Livestock Service or _SAG_). Concessionaires t</w:t>
      </w:r>
      <w:r>
        <w:rPr>
          <w:rFonts w:ascii="Arial" w:hAnsi="Arial" w:cs="Arial"/>
        </w:rPr>
        <w:t xml:space="preserve">hat operate pharmacies within some of our supermarkets are also subject to licensing and inspection by the SNS. Except for government licenses required for the sale of alcoholic beverages, baked goods, pharmaceuticals, seafood and vegetables and customary </w:t>
      </w:r>
      <w:r>
        <w:rPr>
          <w:rFonts w:ascii="Arial" w:hAnsi="Arial" w:cs="Arial"/>
        </w:rPr>
        <w:t xml:space="preserve">business licenses required by local governmental authorities, there are no special governmental licenses or permits required for the sale and distribution of foodstuffs or other products sold by us. </w:t>
      </w:r>
    </w:p>
    <w:p w:rsidR="00000000" w:rsidRDefault="003E5AFF">
      <w:pPr>
        <w:pStyle w:val="NormalWeb"/>
        <w:spacing w:before="120" w:beforeAutospacing="0" w:after="0" w:afterAutospacing="0"/>
      </w:pPr>
      <w:r>
        <w:rPr>
          <w:rFonts w:ascii="Arial" w:hAnsi="Arial" w:cs="Arial"/>
        </w:rPr>
        <w:t>Additionally, the Chilean antitrust authorities have bro</w:t>
      </w:r>
      <w:r>
        <w:rPr>
          <w:rFonts w:ascii="Arial" w:hAnsi="Arial" w:cs="Arial"/>
        </w:rPr>
        <w:t xml:space="preserve">ad regulatory powers and have authority to deny acquisitions which they consider will have adverse competitive effects on the relevant market or will promote anticompetitive behavior. The antitrust authorities have, from time to time, denied authorization </w:t>
      </w:r>
      <w:r>
        <w:rPr>
          <w:rFonts w:ascii="Arial" w:hAnsi="Arial" w:cs="Arial"/>
        </w:rPr>
        <w:t xml:space="preserve">for certain acquisitions, such as the denial of the proposed Falabella acquisition by D&amp;S in January 2008. </w:t>
      </w:r>
    </w:p>
    <w:p w:rsidR="00000000" w:rsidRDefault="003E5AFF">
      <w:pPr>
        <w:pStyle w:val="NormalWeb"/>
        <w:spacing w:before="120" w:beforeAutospacing="0" w:after="0" w:afterAutospacing="0"/>
      </w:pPr>
      <w:r>
        <w:rPr>
          <w:rFonts w:ascii="Arial" w:hAnsi="Arial" w:cs="Arial"/>
          <w:i/>
          <w:iCs/>
        </w:rPr>
        <w:t>Banco Paris</w:t>
      </w:r>
      <w:r>
        <w:rPr>
          <w:rFonts w:ascii="Arial" w:hAnsi="Arial" w:cs="Arial"/>
        </w:rPr>
        <w:t>, Cencosud Administradora de Tarjetas S.A. (_CAT_) and Paris Corredores de Seguros Limitada are under the supervision of the SBIF and the</w:t>
      </w:r>
      <w:r>
        <w:rPr>
          <w:rFonts w:ascii="Arial" w:hAnsi="Arial" w:cs="Arial"/>
        </w:rPr>
        <w:t xml:space="preserve"> SVS. Additionally, </w:t>
      </w:r>
      <w:r>
        <w:rPr>
          <w:rFonts w:ascii="Arial" w:hAnsi="Arial" w:cs="Arial"/>
          <w:i/>
          <w:iCs/>
        </w:rPr>
        <w:t>Banco Paris</w:t>
      </w:r>
      <w:r>
        <w:rPr>
          <w:rFonts w:ascii="Arial" w:hAnsi="Arial" w:cs="Arial"/>
        </w:rPr>
        <w:t xml:space="preserve"> is subject to the </w:t>
      </w:r>
      <w:r>
        <w:rPr>
          <w:rFonts w:ascii="Arial" w:hAnsi="Arial" w:cs="Arial"/>
          <w:i/>
          <w:iCs/>
        </w:rPr>
        <w:t>Ley General de Bancos</w:t>
      </w:r>
      <w:r>
        <w:rPr>
          <w:rFonts w:ascii="Arial" w:hAnsi="Arial" w:cs="Arial"/>
        </w:rPr>
        <w:t xml:space="preserve"> (the General Banking Law) and its regulations, and is inspected by the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- 225 - </w:t>
      </w:r>
    </w:p>
    <w:p w:rsidR="00000000" w:rsidRDefault="003E5AFF">
      <w:pPr>
        <w:rPr>
          <w:rFonts w:eastAsia="Times New Roman" w:cs="Times New Roman"/>
        </w:rPr>
      </w:pPr>
      <w:r>
        <w:rPr>
          <w:rFonts w:eastAsia="Times New Roman" w:cs="Times New Roman"/>
        </w:rPr>
        <w:pict>
          <v:rect id="_x0000_i1262" style="width:441.9pt;height:3pt" o:hralign="center" o:hrstd="t" o:hrnoshade="t" o:hr="t" fillcolor="#999" stroked="f"/>
        </w:pict>
      </w:r>
    </w:p>
    <w:p w:rsidR="00000000" w:rsidRDefault="003E5AFF">
      <w:pPr>
        <w:pStyle w:val="Heading5"/>
        <w:rPr>
          <w:rFonts w:eastAsia="Times New Roman" w:cs="Times New Roman"/>
        </w:rPr>
      </w:pPr>
      <w:hyperlink r:id="rId27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SBIF at least once a year. The inspection includes a review of the bank_s credit risk policies and procedures, operational risks and control policies and other issues such as customer service, accounting rules, interest rates, information and technology an</w:t>
      </w:r>
      <w:r>
        <w:rPr>
          <w:rFonts w:ascii="Arial" w:hAnsi="Arial" w:cs="Arial"/>
        </w:rPr>
        <w:t xml:space="preserve">d financial operations. </w:t>
      </w:r>
      <w:r>
        <w:rPr>
          <w:rFonts w:ascii="Arial" w:hAnsi="Arial" w:cs="Arial"/>
          <w:i/>
          <w:iCs/>
        </w:rPr>
        <w:t>Banco Paris</w:t>
      </w:r>
      <w:r>
        <w:rPr>
          <w:rFonts w:ascii="Arial" w:hAnsi="Arial" w:cs="Arial"/>
        </w:rPr>
        <w:t xml:space="preserve"> is in compliance in all material respects to the regulations to which it is subject. </w:t>
      </w:r>
    </w:p>
    <w:p w:rsidR="00000000" w:rsidRDefault="003E5AFF">
      <w:pPr>
        <w:pStyle w:val="NormalWeb"/>
        <w:spacing w:before="120" w:beforeAutospacing="0" w:after="0" w:afterAutospacing="0"/>
      </w:pPr>
      <w:r>
        <w:rPr>
          <w:rFonts w:ascii="Arial" w:hAnsi="Arial" w:cs="Arial"/>
        </w:rPr>
        <w:t>CAT started its credit card operations in 2003 and until 2006 was not subject to any special regulation. In 2006 the SBIF issued a set</w:t>
      </w:r>
      <w:r>
        <w:rPr>
          <w:rFonts w:ascii="Arial" w:hAnsi="Arial" w:cs="Arial"/>
        </w:rPr>
        <w:t xml:space="preserve"> of special regulations targeting the credit card business and placing under its supervision companies engaged in the issuance or operation of credit cards or any other similar systems, where the operator assumes monetary obligations to the public. We beli</w:t>
      </w:r>
      <w:r>
        <w:rPr>
          <w:rFonts w:ascii="Arial" w:hAnsi="Arial" w:cs="Arial"/>
        </w:rPr>
        <w:t>eve that CAT has been in compliance in all material respects with the regulations imposed by the SBIF. Moreover the SERNAC regulates credit cards issued by retailers in matters related to consumers_ protection. There is a maximum fixed interest rate that c</w:t>
      </w:r>
      <w:r>
        <w:rPr>
          <w:rFonts w:ascii="Arial" w:hAnsi="Arial" w:cs="Arial"/>
        </w:rPr>
        <w:t xml:space="preserve">an be charged, but there are certain other fees that are not considered for such purposes which allow retail credit card issuers to increase margins. </w:t>
      </w:r>
    </w:p>
    <w:p w:rsidR="00000000" w:rsidRDefault="003E5AFF">
      <w:pPr>
        <w:pStyle w:val="NormalWeb"/>
        <w:spacing w:before="120" w:beforeAutospacing="0" w:after="0" w:afterAutospacing="0"/>
      </w:pPr>
      <w:r>
        <w:rPr>
          <w:rFonts w:ascii="Arial" w:hAnsi="Arial" w:cs="Arial"/>
        </w:rPr>
        <w:t>Paris Corredores de Seguros Limitada obtained in 1998 an insurance brokerage company authorization with t</w:t>
      </w:r>
      <w:r>
        <w:rPr>
          <w:rFonts w:ascii="Arial" w:hAnsi="Arial" w:cs="Arial"/>
        </w:rPr>
        <w:t xml:space="preserve">he SBIF and is subject to its supervision and regulations. Paris Corredores de Seguros Limitada is in compliance in all material respects with the regulations to which it is subject. </w:t>
      </w:r>
    </w:p>
    <w:p w:rsidR="00000000" w:rsidRDefault="003E5AFF">
      <w:pPr>
        <w:pStyle w:val="NormalWeb"/>
        <w:spacing w:before="120" w:beforeAutospacing="0" w:after="0" w:afterAutospacing="0"/>
      </w:pPr>
      <w:r>
        <w:rPr>
          <w:rFonts w:ascii="Arial" w:hAnsi="Arial" w:cs="Arial"/>
        </w:rPr>
        <w:t>We are required to obtain a series of permits and authorizations to oper</w:t>
      </w:r>
      <w:r>
        <w:rPr>
          <w:rFonts w:ascii="Arial" w:hAnsi="Arial" w:cs="Arial"/>
        </w:rPr>
        <w:t xml:space="preserve">ate our shopping centers. Additionally, we are required to obtain for every new project a construction permit and be in compliance with a series of land use, commercial real estate and environmental regulations. </w:t>
      </w:r>
    </w:p>
    <w:p w:rsidR="00000000" w:rsidRDefault="003E5AFF">
      <w:pPr>
        <w:pStyle w:val="NormalWeb"/>
        <w:spacing w:before="240" w:beforeAutospacing="0" w:after="0" w:afterAutospacing="0"/>
      </w:pPr>
      <w:r>
        <w:rPr>
          <w:rFonts w:ascii="Arial" w:hAnsi="Arial" w:cs="Arial"/>
          <w:b/>
          <w:bCs/>
          <w:sz w:val="24"/>
          <w:szCs w:val="24"/>
        </w:rPr>
        <w:t xml:space="preserve">Argentina </w:t>
      </w:r>
    </w:p>
    <w:p w:rsidR="00000000" w:rsidRDefault="003E5AFF">
      <w:pPr>
        <w:pStyle w:val="NormalWeb"/>
        <w:spacing w:before="120" w:beforeAutospacing="0" w:after="0" w:afterAutospacing="0"/>
      </w:pPr>
      <w:r>
        <w:rPr>
          <w:rFonts w:ascii="Arial" w:hAnsi="Arial" w:cs="Arial"/>
        </w:rPr>
        <w:t>We and all of our subsidiaries w</w:t>
      </w:r>
      <w:r>
        <w:rPr>
          <w:rFonts w:ascii="Arial" w:hAnsi="Arial" w:cs="Arial"/>
        </w:rPr>
        <w:t xml:space="preserve">ith operations in Argentina are subject to the Consumer Protection Law. Compliance with the said law is enforced by the </w:t>
      </w:r>
      <w:r>
        <w:rPr>
          <w:rFonts w:ascii="Arial" w:hAnsi="Arial" w:cs="Arial"/>
          <w:i/>
          <w:iCs/>
        </w:rPr>
        <w:t>Secretar_a de Comercio Interior</w:t>
      </w:r>
      <w:r>
        <w:rPr>
          <w:rFonts w:ascii="Arial" w:hAnsi="Arial" w:cs="Arial"/>
        </w:rPr>
        <w:t xml:space="preserve"> on a national level. On the provincial and municipal level, there are numerous agencies that also enforc</w:t>
      </w:r>
      <w:r>
        <w:rPr>
          <w:rFonts w:ascii="Arial" w:hAnsi="Arial" w:cs="Arial"/>
        </w:rPr>
        <w:t xml:space="preserve">e violations. We do not have any material proceedings arising from the </w:t>
      </w:r>
      <w:r>
        <w:rPr>
          <w:rFonts w:ascii="Arial" w:hAnsi="Arial" w:cs="Arial"/>
          <w:i/>
          <w:iCs/>
        </w:rPr>
        <w:t>Ley de Proteccion al Consumidor</w:t>
      </w:r>
      <w:r>
        <w:rPr>
          <w:rFonts w:ascii="Arial" w:hAnsi="Arial" w:cs="Arial"/>
        </w:rPr>
        <w:t xml:space="preserve">, and we believe we are in compliance with all material aspects of such law. </w:t>
      </w:r>
    </w:p>
    <w:p w:rsidR="00000000" w:rsidRDefault="003E5AFF">
      <w:pPr>
        <w:pStyle w:val="NormalWeb"/>
        <w:spacing w:before="120" w:beforeAutospacing="0" w:after="0" w:afterAutospacing="0"/>
      </w:pPr>
      <w:r>
        <w:rPr>
          <w:rFonts w:ascii="Arial" w:hAnsi="Arial" w:cs="Arial"/>
        </w:rPr>
        <w:t>Our supermarkets are subject to inspection by national, provincial and munic</w:t>
      </w:r>
      <w:r>
        <w:rPr>
          <w:rFonts w:ascii="Arial" w:hAnsi="Arial" w:cs="Arial"/>
        </w:rPr>
        <w:t xml:space="preserve">ipal authorities, including the </w:t>
      </w:r>
      <w:r>
        <w:rPr>
          <w:rFonts w:ascii="Arial" w:hAnsi="Arial" w:cs="Arial"/>
          <w:i/>
          <w:iCs/>
        </w:rPr>
        <w:t>Servicio Nacional de Sanidad y Calidad Agroalimentaria, Administraci_n Nacional de Medicamentos, Alimentos y Tecnolog_a M_dica</w:t>
      </w:r>
      <w:r>
        <w:rPr>
          <w:rFonts w:ascii="Arial" w:hAnsi="Arial" w:cs="Arial"/>
        </w:rPr>
        <w:t xml:space="preserve"> (_ANMAT_) and the</w:t>
      </w:r>
      <w:r>
        <w:rPr>
          <w:rFonts w:ascii="Arial" w:hAnsi="Arial" w:cs="Arial"/>
          <w:i/>
          <w:iCs/>
        </w:rPr>
        <w:t xml:space="preserve"> Secretar_a de Comercio Interior</w:t>
      </w:r>
      <w:r>
        <w:rPr>
          <w:rFonts w:ascii="Arial" w:hAnsi="Arial" w:cs="Arial"/>
        </w:rPr>
        <w:t>. We regularly hire a private inspection company</w:t>
      </w:r>
      <w:r>
        <w:rPr>
          <w:rFonts w:ascii="Arial" w:hAnsi="Arial" w:cs="Arial"/>
        </w:rPr>
        <w:t xml:space="preserve"> to undertake private inspections of our facilities to ensure that we meet or surpass all Argentine health standards. Concessionaires that operate pharmacies within some of our supermarkets are also subject to licensing and inspection by the ANMAT. Except </w:t>
      </w:r>
      <w:r>
        <w:rPr>
          <w:rFonts w:ascii="Arial" w:hAnsi="Arial" w:cs="Arial"/>
        </w:rPr>
        <w:t>for government licenses required for the sale of alcoholic beverages, baked goods, pharmaceuticals, meat, seafood and vegetables and customary business licenses required by local governmental authorities, there are no special governmental licenses or permi</w:t>
      </w:r>
      <w:r>
        <w:rPr>
          <w:rFonts w:ascii="Arial" w:hAnsi="Arial" w:cs="Arial"/>
        </w:rPr>
        <w:t xml:space="preserve">ts required for the sale and distribution of foodstuffs or other products sold in our stores. </w:t>
      </w:r>
    </w:p>
    <w:p w:rsidR="00000000" w:rsidRDefault="003E5AFF">
      <w:pPr>
        <w:pStyle w:val="NormalWeb"/>
        <w:spacing w:before="120" w:beforeAutospacing="0" w:after="0" w:afterAutospacing="0"/>
      </w:pPr>
      <w:r>
        <w:rPr>
          <w:rFonts w:ascii="Arial" w:hAnsi="Arial" w:cs="Arial"/>
        </w:rPr>
        <w:t xml:space="preserve">Our supermarkets, shopping centers and home improvement stores in Argentina are required to have a series of authorizations and permits to operate. As well, our </w:t>
      </w:r>
      <w:r>
        <w:rPr>
          <w:rFonts w:ascii="Arial" w:hAnsi="Arial" w:cs="Arial"/>
        </w:rPr>
        <w:t>new projects in the province of Buenos Aires are required to comply with law 12.573 on major commercial areas to obtain the necessary authorizations. All existing and projected supermarkets are required to comply with the regulations concerning land use, c</w:t>
      </w:r>
      <w:r>
        <w:rPr>
          <w:rFonts w:ascii="Arial" w:hAnsi="Arial" w:cs="Arial"/>
        </w:rPr>
        <w:t xml:space="preserve">ommercial real estate and the environment. </w:t>
      </w:r>
    </w:p>
    <w:p w:rsidR="00000000" w:rsidRDefault="003E5AFF">
      <w:pPr>
        <w:pStyle w:val="NormalWeb"/>
        <w:spacing w:before="120" w:beforeAutospacing="0" w:after="0" w:afterAutospacing="0"/>
      </w:pPr>
      <w:r>
        <w:rPr>
          <w:rFonts w:ascii="Arial" w:hAnsi="Arial" w:cs="Arial"/>
        </w:rPr>
        <w:t xml:space="preserve">Our credit card operations are subject to the Credit Card Law and its regulations, enforced by the </w:t>
      </w:r>
      <w:r>
        <w:rPr>
          <w:rFonts w:ascii="Arial" w:hAnsi="Arial" w:cs="Arial"/>
          <w:i/>
          <w:iCs/>
        </w:rPr>
        <w:t>Secretar_a de Comercio Interior</w:t>
      </w:r>
      <w:r>
        <w:rPr>
          <w:rFonts w:ascii="Arial" w:hAnsi="Arial" w:cs="Arial"/>
        </w:rPr>
        <w:t xml:space="preserve">. We are also subject to regulations issued by the Central Bank of Argentina.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w:t>
      </w:r>
      <w:r>
        <w:rPr>
          <w:rFonts w:ascii="Arial" w:hAnsi="Arial" w:cs="Arial"/>
        </w:rPr>
        <w:t xml:space="preserve"> 226 - </w:t>
      </w:r>
    </w:p>
    <w:p w:rsidR="00000000" w:rsidRDefault="003E5AFF">
      <w:pPr>
        <w:rPr>
          <w:rFonts w:eastAsia="Times New Roman" w:cs="Times New Roman"/>
        </w:rPr>
      </w:pPr>
      <w:r>
        <w:rPr>
          <w:rFonts w:eastAsia="Times New Roman" w:cs="Times New Roman"/>
        </w:rPr>
        <w:pict>
          <v:rect id="_x0000_i1263" style="width:441.9pt;height:3pt" o:hralign="center" o:hrstd="t" o:hrnoshade="t" o:hr="t" fillcolor="#999" stroked="f"/>
        </w:pict>
      </w:r>
    </w:p>
    <w:p w:rsidR="00000000" w:rsidRDefault="003E5AFF">
      <w:pPr>
        <w:pStyle w:val="Heading5"/>
        <w:rPr>
          <w:rFonts w:eastAsia="Times New Roman" w:cs="Times New Roman"/>
        </w:rPr>
      </w:pPr>
      <w:hyperlink r:id="rId28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Additionally, the Argentine Antitrust Commission has broad regulatory powers and has authority to deny acquisitions which it considers </w:t>
      </w:r>
      <w:r>
        <w:rPr>
          <w:rFonts w:ascii="Arial" w:hAnsi="Arial" w:cs="Arial"/>
        </w:rPr>
        <w:t xml:space="preserve">will have adverse competitive effects on the relevant market or will promote anticompetitive behavior. </w:t>
      </w:r>
    </w:p>
    <w:p w:rsidR="00000000" w:rsidRDefault="003E5AFF">
      <w:pPr>
        <w:pStyle w:val="NormalWeb"/>
        <w:spacing w:before="240" w:beforeAutospacing="0" w:after="0" w:afterAutospacing="0"/>
      </w:pPr>
      <w:r>
        <w:rPr>
          <w:rFonts w:ascii="Arial" w:hAnsi="Arial" w:cs="Arial"/>
          <w:b/>
          <w:bCs/>
          <w:sz w:val="24"/>
          <w:szCs w:val="24"/>
        </w:rPr>
        <w:t xml:space="preserve">Brazil </w:t>
      </w:r>
    </w:p>
    <w:p w:rsidR="00000000" w:rsidRDefault="003E5AFF">
      <w:pPr>
        <w:pStyle w:val="NormalWeb"/>
        <w:spacing w:before="120" w:beforeAutospacing="0" w:after="0" w:afterAutospacing="0"/>
      </w:pPr>
      <w:r>
        <w:rPr>
          <w:rFonts w:ascii="Arial" w:hAnsi="Arial" w:cs="Arial"/>
        </w:rPr>
        <w:t>We are subject to a wide range of governmental regulation and supervision generally applicable to companies engaged in business in Brazil, inclu</w:t>
      </w:r>
      <w:r>
        <w:rPr>
          <w:rFonts w:ascii="Arial" w:hAnsi="Arial" w:cs="Arial"/>
        </w:rPr>
        <w:t>ding federal, state and municipal regulations, such as labor laws, public health and environmental laws. In order to open and operate our stores in Brazil, we need a business permit and site approval, an inspection certificate from the local fire departmen</w:t>
      </w:r>
      <w:r>
        <w:rPr>
          <w:rFonts w:ascii="Arial" w:hAnsi="Arial" w:cs="Arial"/>
        </w:rPr>
        <w:t xml:space="preserve">t as well as health and safety permits. Our stores are subject to inspection by municipal authorities. We believe that we are in compliance in all material respects with all statutory and administrative regulations applicable to our business. </w:t>
      </w:r>
    </w:p>
    <w:p w:rsidR="00000000" w:rsidRDefault="003E5AFF">
      <w:pPr>
        <w:pStyle w:val="NormalWeb"/>
        <w:spacing w:before="120" w:beforeAutospacing="0" w:after="0" w:afterAutospacing="0"/>
      </w:pPr>
      <w:r>
        <w:rPr>
          <w:rFonts w:ascii="Arial" w:hAnsi="Arial" w:cs="Arial"/>
        </w:rPr>
        <w:t>Our business</w:t>
      </w:r>
      <w:r>
        <w:rPr>
          <w:rFonts w:ascii="Arial" w:hAnsi="Arial" w:cs="Arial"/>
        </w:rPr>
        <w:t xml:space="preserve"> operations in Brazil are primarily affected by a set of consumer protection rules regulating matters such as advertising, labeling and consumer credit. We believe we are in compliance in all material respects with these consumer protection regulations. </w:t>
      </w:r>
    </w:p>
    <w:p w:rsidR="00000000" w:rsidRDefault="003E5AFF">
      <w:pPr>
        <w:pStyle w:val="NormalWeb"/>
        <w:spacing w:before="120" w:beforeAutospacing="0" w:after="0" w:afterAutospacing="0"/>
      </w:pPr>
      <w:r>
        <w:rPr>
          <w:rFonts w:ascii="Arial" w:hAnsi="Arial" w:cs="Arial"/>
        </w:rPr>
        <w:t>A</w:t>
      </w:r>
      <w:r>
        <w:rPr>
          <w:rFonts w:ascii="Arial" w:hAnsi="Arial" w:cs="Arial"/>
        </w:rPr>
        <w:t>s a result of significant inflation during long periods in the past, it was common practice in Brazil not to label individual items. However, a federal regulation establishes that products exposed to consumers must contain information about prices (for ins</w:t>
      </w:r>
      <w:r>
        <w:rPr>
          <w:rFonts w:ascii="Arial" w:hAnsi="Arial" w:cs="Arial"/>
        </w:rPr>
        <w:t>tance price tags, signs or bar codes which can be read with scanners) in order to facilitate the identification of prices of each product by the consumer. Pursuant to these new rules, pricing information must be physically attached or adjacent to the produ</w:t>
      </w:r>
      <w:r>
        <w:rPr>
          <w:rFonts w:ascii="Arial" w:hAnsi="Arial" w:cs="Arial"/>
        </w:rPr>
        <w:t xml:space="preserve">ct. When bar codes are used, the commercial establishment is required to provide easily accessible scanners. We believe that we are in compliance with these provisions in all material aspects. </w:t>
      </w:r>
    </w:p>
    <w:p w:rsidR="00000000" w:rsidRDefault="003E5AFF">
      <w:pPr>
        <w:pStyle w:val="NormalWeb"/>
        <w:spacing w:before="120" w:beforeAutospacing="0" w:after="0" w:afterAutospacing="0"/>
      </w:pPr>
      <w:r>
        <w:rPr>
          <w:rFonts w:ascii="Arial" w:hAnsi="Arial" w:cs="Arial"/>
        </w:rPr>
        <w:t xml:space="preserve">The Brazilian Congress is discussing a bill requiring a prior </w:t>
      </w:r>
      <w:r>
        <w:rPr>
          <w:rFonts w:ascii="Arial" w:hAnsi="Arial" w:cs="Arial"/>
        </w:rPr>
        <w:t>assessment of the impact of the construction of a hypermarket in excess of 1,000 square meters on the relevant neighborhood. The proposed regulation is intended to protect traditional family-owned retailers that have increasingly lost market share in Brazi</w:t>
      </w:r>
      <w:r>
        <w:rPr>
          <w:rFonts w:ascii="Arial" w:hAnsi="Arial" w:cs="Arial"/>
        </w:rPr>
        <w:t xml:space="preserve">l to the larger chains and hypermarkets. Regulations of this type already exist at the municipal level. For example, governmental authorities in the city of Porto Alegre in the State of Rio Grande do Sul issued a city ordinance in January 2001 prohibiting </w:t>
      </w:r>
      <w:r>
        <w:rPr>
          <w:rFonts w:ascii="Arial" w:hAnsi="Arial" w:cs="Arial"/>
        </w:rPr>
        <w:t xml:space="preserve">the construction of food retail stores with a selling area greater than 1,500 square meters, which in May 2005, was amended as to increase from 1,500 to 2,500 squares meters the selling area of food retail stores. Other Brazilian regions may adopt similar </w:t>
      </w:r>
      <w:r>
        <w:rPr>
          <w:rFonts w:ascii="Arial" w:hAnsi="Arial" w:cs="Arial"/>
        </w:rPr>
        <w:t xml:space="preserve">laws, and, if the bill pending before the Brazilian Congress becomes law, our future expansion and growth may be subject to significant constraints. </w:t>
      </w:r>
    </w:p>
    <w:p w:rsidR="00000000" w:rsidRDefault="003E5AFF">
      <w:pPr>
        <w:pStyle w:val="NormalWeb"/>
        <w:spacing w:before="120" w:beforeAutospacing="0" w:after="0" w:afterAutospacing="0"/>
      </w:pPr>
      <w:r>
        <w:rPr>
          <w:rFonts w:ascii="Arial" w:hAnsi="Arial" w:cs="Arial"/>
        </w:rPr>
        <w:t xml:space="preserve">Additionally, the Brazilian antitrust authorities have broad regulatory powers and have authority to deny </w:t>
      </w:r>
      <w:r>
        <w:rPr>
          <w:rFonts w:ascii="Arial" w:hAnsi="Arial" w:cs="Arial"/>
        </w:rPr>
        <w:t xml:space="preserve">acquisitions which they consider will have adverse competitive effects on the relevant market or will promote anticompetitive behavior. </w:t>
      </w:r>
    </w:p>
    <w:p w:rsidR="00000000" w:rsidRDefault="003E5AFF">
      <w:pPr>
        <w:pStyle w:val="NormalWeb"/>
        <w:spacing w:before="120" w:beforeAutospacing="0" w:after="0" w:afterAutospacing="0"/>
      </w:pPr>
      <w:r>
        <w:rPr>
          <w:rFonts w:ascii="Arial" w:hAnsi="Arial" w:cs="Arial"/>
          <w:i/>
          <w:iCs/>
        </w:rPr>
        <w:t>Pharmacies</w:t>
      </w:r>
      <w:r>
        <w:rPr>
          <w:rFonts w:ascii="Arial" w:hAnsi="Arial" w:cs="Arial"/>
        </w:rPr>
        <w:t>.    Pharmacies owned or operated by us are subject to the control and monitoring of the Brazilian National H</w:t>
      </w:r>
      <w:r>
        <w:rPr>
          <w:rFonts w:ascii="Arial" w:hAnsi="Arial" w:cs="Arial"/>
        </w:rPr>
        <w:t>ealth Surveillance Agency (_ANVISA_) and public state and municipal health authorities. According to Law No. 6,360, of September 23, 1976, and Decree No. 79,049, of January 5, 1977, ANVISA has the power to control, monitor and issue authorizations to compa</w:t>
      </w:r>
      <w:r>
        <w:rPr>
          <w:rFonts w:ascii="Arial" w:hAnsi="Arial" w:cs="Arial"/>
        </w:rPr>
        <w:t xml:space="preserve">nies to legally extract, produce, pack, import, export, and store medications, pharmaceutical items, drugs and related products, cosmetics, personal hygiene products, perfumes and similar products, domestic cleaning products and beauty products. The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- 227 - </w:t>
      </w:r>
    </w:p>
    <w:p w:rsidR="00000000" w:rsidRDefault="003E5AFF">
      <w:pPr>
        <w:rPr>
          <w:rFonts w:eastAsia="Times New Roman" w:cs="Times New Roman"/>
        </w:rPr>
      </w:pPr>
      <w:r>
        <w:rPr>
          <w:rFonts w:eastAsia="Times New Roman" w:cs="Times New Roman"/>
        </w:rPr>
        <w:pict>
          <v:rect id="_x0000_i1264" style="width:441.9pt;height:3pt" o:hralign="center" o:hrstd="t" o:hrnoshade="t" o:hr="t" fillcolor="#999" stroked="f"/>
        </w:pict>
      </w:r>
    </w:p>
    <w:p w:rsidR="00000000" w:rsidRDefault="003E5AFF">
      <w:pPr>
        <w:pStyle w:val="Heading5"/>
        <w:rPr>
          <w:rFonts w:eastAsia="Times New Roman" w:cs="Times New Roman"/>
        </w:rPr>
      </w:pPr>
      <w:hyperlink r:id="rId28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authorization issued by ANVISA enable those kinds of companies to have operations in Brazil, as a whole, during an indeterminate period of time. The ANVISA authorization must be renewed whenever there is a chang</w:t>
      </w:r>
      <w:r>
        <w:rPr>
          <w:rFonts w:ascii="Arial" w:hAnsi="Arial" w:cs="Arial"/>
        </w:rPr>
        <w:t>e in a company_s activities, shareholders, officers or managers. Moreover, each establishment selling therapeutic, pharmaceutical, cosmetic and/or personal hygiene products, or developing any of the above-mentioned activities must also be licensed by the c</w:t>
      </w:r>
      <w:r>
        <w:rPr>
          <w:rFonts w:ascii="Arial" w:hAnsi="Arial" w:cs="Arial"/>
        </w:rPr>
        <w:t>ompetent state or municipal sanitary authority, and have a technically responsible person duly authorized by the Pharmacy Regional Committee. On August 17, 2009, ANVISA enacted Regulation No. 44, which made significant changes to existing regulations estab</w:t>
      </w:r>
      <w:r>
        <w:rPr>
          <w:rFonts w:ascii="Arial" w:hAnsi="Arial" w:cs="Arial"/>
        </w:rPr>
        <w:t xml:space="preserve">lishing the (i) types of products that can be commercialized; (ii) how such product are displayed; (iii) pharmaceutical services offered; and (iv) internet sales. </w:t>
      </w:r>
    </w:p>
    <w:p w:rsidR="00000000" w:rsidRDefault="003E5AFF">
      <w:pPr>
        <w:pStyle w:val="NormalWeb"/>
        <w:spacing w:before="240" w:beforeAutospacing="0" w:after="0" w:afterAutospacing="0"/>
      </w:pPr>
      <w:r>
        <w:rPr>
          <w:rFonts w:ascii="Arial" w:hAnsi="Arial" w:cs="Arial"/>
          <w:b/>
          <w:bCs/>
          <w:sz w:val="24"/>
          <w:szCs w:val="24"/>
        </w:rPr>
        <w:t xml:space="preserve">Peru </w:t>
      </w:r>
    </w:p>
    <w:p w:rsidR="00000000" w:rsidRDefault="003E5AFF">
      <w:pPr>
        <w:pStyle w:val="NormalWeb"/>
        <w:spacing w:before="120" w:beforeAutospacing="0" w:after="0" w:afterAutospacing="0"/>
      </w:pPr>
      <w:r>
        <w:rPr>
          <w:rFonts w:ascii="Arial" w:hAnsi="Arial" w:cs="Arial"/>
        </w:rPr>
        <w:t>Our subsidiaries with operations in Peru are subject to the Antitrust Law and the Cons</w:t>
      </w:r>
      <w:r>
        <w:rPr>
          <w:rFonts w:ascii="Arial" w:hAnsi="Arial" w:cs="Arial"/>
        </w:rPr>
        <w:t>umer Protection Law. Compliance with these laws is enforced by</w:t>
      </w:r>
      <w:r>
        <w:rPr>
          <w:rFonts w:ascii="Arial" w:hAnsi="Arial" w:cs="Arial"/>
          <w:i/>
          <w:iCs/>
        </w:rPr>
        <w:t xml:space="preserve"> the Instituto Nacional de Defensa de la Competencia y de la Protecci_n de la Propiedad Intelectual</w:t>
      </w:r>
      <w:r>
        <w:rPr>
          <w:rFonts w:ascii="Arial" w:hAnsi="Arial" w:cs="Arial"/>
        </w:rPr>
        <w:t xml:space="preserve"> (_INDECOPI_), the Peruvian public antitrust and consumer protection agency. Acquisitions are n</w:t>
      </w:r>
      <w:r>
        <w:rPr>
          <w:rFonts w:ascii="Arial" w:hAnsi="Arial" w:cs="Arial"/>
        </w:rPr>
        <w:t xml:space="preserve">ot subject to authorization from INDECOPI. </w:t>
      </w:r>
    </w:p>
    <w:p w:rsidR="00000000" w:rsidRDefault="003E5AFF">
      <w:pPr>
        <w:pStyle w:val="NormalWeb"/>
        <w:spacing w:before="120" w:beforeAutospacing="0" w:after="0" w:afterAutospacing="0"/>
      </w:pPr>
      <w:r>
        <w:rPr>
          <w:rFonts w:ascii="Arial" w:hAnsi="Arial" w:cs="Arial"/>
        </w:rPr>
        <w:t xml:space="preserve">In addition to government licenses required for the sale of alcoholic beverages, baked goods, pharmaceuticals, seafood and vegetables and customary business licenses required by governmental authorities, such as </w:t>
      </w:r>
      <w:r>
        <w:rPr>
          <w:rFonts w:ascii="Arial" w:hAnsi="Arial" w:cs="Arial"/>
        </w:rPr>
        <w:t xml:space="preserve">the Agriculture Ministry, there are special governmental licenses or permits required for the sale and distribution of foodstuffs or other products sold at our stores. Our supermarkets are subject to inspection by the </w:t>
      </w:r>
      <w:r>
        <w:rPr>
          <w:rFonts w:ascii="Arial" w:hAnsi="Arial" w:cs="Arial"/>
          <w:i/>
          <w:iCs/>
        </w:rPr>
        <w:t>Direcci_n General de Salud</w:t>
      </w:r>
      <w:r>
        <w:rPr>
          <w:rFonts w:ascii="Arial" w:hAnsi="Arial" w:cs="Arial"/>
        </w:rPr>
        <w:t xml:space="preserve"> (the Genera</w:t>
      </w:r>
      <w:r>
        <w:rPr>
          <w:rFonts w:ascii="Arial" w:hAnsi="Arial" w:cs="Arial"/>
        </w:rPr>
        <w:t>l Health Office), a governmental office of the Health Ministry, which verifies the quality of our products. The sanitary inspection of our supermarkets is in charge of the local municipality. Concessionaires that operate pharmacies within some of our super</w:t>
      </w:r>
      <w:r>
        <w:rPr>
          <w:rFonts w:ascii="Arial" w:hAnsi="Arial" w:cs="Arial"/>
        </w:rPr>
        <w:t xml:space="preserve">markets are also subject to licensing and inspection by the </w:t>
      </w:r>
      <w:r>
        <w:rPr>
          <w:rFonts w:ascii="Arial" w:hAnsi="Arial" w:cs="Arial"/>
          <w:i/>
          <w:iCs/>
        </w:rPr>
        <w:t>Direcci_n Regional de Medicamentos, Insumos y Drogas</w:t>
      </w:r>
      <w:r>
        <w:rPr>
          <w:rFonts w:ascii="Arial" w:hAnsi="Arial" w:cs="Arial"/>
        </w:rPr>
        <w:t xml:space="preserve">. We believe that we are in compliance in all material respects with all applicable statutory and administrative regulations with respect to our business. </w:t>
      </w:r>
    </w:p>
    <w:p w:rsidR="00000000" w:rsidRDefault="003E5AFF">
      <w:pPr>
        <w:pStyle w:val="NormalWeb"/>
        <w:spacing w:before="120" w:beforeAutospacing="0" w:after="0" w:afterAutospacing="0"/>
      </w:pPr>
      <w:r>
        <w:rPr>
          <w:rFonts w:ascii="Arial" w:hAnsi="Arial" w:cs="Arial"/>
        </w:rPr>
        <w:t>Our shopping centers are required to obtain a series of authorizations, such as an operation license</w:t>
      </w:r>
      <w:r>
        <w:rPr>
          <w:rFonts w:ascii="Arial" w:hAnsi="Arial" w:cs="Arial"/>
        </w:rPr>
        <w:t xml:space="preserve"> from the local municipality, to operate. Additionally, we are required to obtain for every new project a construction permit and license from the local authority. We believe that we are in compliance in all material respects with these requirements.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w:t>
      </w:r>
      <w:r>
        <w:rPr>
          <w:rFonts w:ascii="Arial" w:hAnsi="Arial" w:cs="Arial"/>
        </w:rPr>
        <w:t xml:space="preserve">228 - </w:t>
      </w:r>
    </w:p>
    <w:p w:rsidR="00000000" w:rsidRDefault="003E5AFF">
      <w:pPr>
        <w:rPr>
          <w:rFonts w:eastAsia="Times New Roman" w:cs="Times New Roman"/>
        </w:rPr>
      </w:pPr>
      <w:r>
        <w:rPr>
          <w:rFonts w:eastAsia="Times New Roman" w:cs="Times New Roman"/>
        </w:rPr>
        <w:pict>
          <v:rect id="_x0000_i1265" style="width:441.9pt;height:3pt" o:hralign="center" o:hrstd="t" o:hrnoshade="t" o:hr="t" fillcolor="#999" stroked="f"/>
        </w:pict>
      </w:r>
    </w:p>
    <w:p w:rsidR="00000000" w:rsidRDefault="003E5AFF">
      <w:pPr>
        <w:pStyle w:val="Heading5"/>
        <w:rPr>
          <w:rFonts w:eastAsia="Times New Roman" w:cs="Times New Roman"/>
        </w:rPr>
      </w:pPr>
      <w:hyperlink r:id="rId28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22" w:name="rom343004_21"/>
      <w:bookmarkEnd w:id="22"/>
      <w:r>
        <w:rPr>
          <w:rFonts w:ascii="Arial" w:hAnsi="Arial" w:cs="Arial"/>
          <w:b/>
          <w:bCs/>
          <w:sz w:val="36"/>
          <w:szCs w:val="36"/>
        </w:rPr>
        <w:t xml:space="preserve">Management </w:t>
      </w:r>
    </w:p>
    <w:p w:rsidR="00000000" w:rsidRDefault="003E5AFF">
      <w:pPr>
        <w:pStyle w:val="NormalWeb"/>
        <w:spacing w:before="120" w:beforeAutospacing="0" w:after="0" w:afterAutospacing="0"/>
      </w:pPr>
      <w:r>
        <w:rPr>
          <w:rFonts w:ascii="Arial" w:hAnsi="Arial" w:cs="Arial"/>
          <w:b/>
          <w:bCs/>
        </w:rPr>
        <w:t xml:space="preserve">Board of directors </w:t>
      </w:r>
    </w:p>
    <w:p w:rsidR="00000000" w:rsidRDefault="003E5AFF">
      <w:pPr>
        <w:pStyle w:val="NormalWeb"/>
        <w:spacing w:before="120" w:beforeAutospacing="0" w:after="0" w:afterAutospacing="0"/>
      </w:pPr>
      <w:r>
        <w:rPr>
          <w:rFonts w:ascii="Arial" w:hAnsi="Arial" w:cs="Arial"/>
        </w:rPr>
        <w:t>We are managed by our Board of Directors which, in accordance with our Bylaws, must consist of nine directors who are elected at the annual ordinary shareholders_ meeting. The entire Board of Directors is elected every three years. In accordance with Artic</w:t>
      </w:r>
      <w:r>
        <w:rPr>
          <w:rFonts w:ascii="Arial" w:hAnsi="Arial" w:cs="Arial"/>
        </w:rPr>
        <w:t xml:space="preserve">le 32 of the Chilean Corporations Law, if a vacancy occurs, the Board of Directors may appoint a substitute director to fill the vacancy until the next scheduled ordinary meeting of shareholders, at which time the entire Board of Directors will be elected </w:t>
      </w:r>
      <w:r>
        <w:rPr>
          <w:rFonts w:ascii="Arial" w:hAnsi="Arial" w:cs="Arial"/>
        </w:rPr>
        <w:t>or re-elected. Due to the resignation of Bruno Philippi Irarr_zabal from the Board of Directors on August 29, 2011, Article 32 of the Chilean Corporations Law was triggered and the entire Board of Directors was elected in April 2012, rather than at the end</w:t>
      </w:r>
      <w:r>
        <w:rPr>
          <w:rFonts w:ascii="Arial" w:hAnsi="Arial" w:cs="Arial"/>
        </w:rPr>
        <w:t xml:space="preserve"> of the customary three-year period. </w:t>
      </w:r>
    </w:p>
    <w:p w:rsidR="00000000" w:rsidRDefault="003E5AFF">
      <w:pPr>
        <w:pStyle w:val="NormalWeb"/>
        <w:spacing w:before="120" w:beforeAutospacing="0" w:after="0" w:afterAutospacing="0"/>
      </w:pPr>
      <w:r>
        <w:rPr>
          <w:rFonts w:ascii="Arial" w:hAnsi="Arial" w:cs="Arial"/>
        </w:rPr>
        <w:t>There are regularly scheduled monthly meetings of our Board of Directors. Extraordinary meetings are convened when called by the Chairman of the Board, when requested by any other director with the assent of the Chairm</w:t>
      </w:r>
      <w:r>
        <w:rPr>
          <w:rFonts w:ascii="Arial" w:hAnsi="Arial" w:cs="Arial"/>
        </w:rPr>
        <w:t>an of the Board or when requested by an absolute majority of the directors. Our Board of Directors is responsible, among other things, for the overall supervision and administration of our business activities, for the appointment and removal of our Executi</w:t>
      </w:r>
      <w:r>
        <w:rPr>
          <w:rFonts w:ascii="Arial" w:hAnsi="Arial" w:cs="Arial"/>
        </w:rPr>
        <w:t xml:space="preserve">ve Officers, for reviewing our financial statements, for approving our Company_s budget and for approving any purchase or sale of real estate. </w:t>
      </w:r>
    </w:p>
    <w:p w:rsidR="00000000" w:rsidRDefault="003E5AFF">
      <w:pPr>
        <w:pStyle w:val="NormalWeb"/>
        <w:spacing w:before="120" w:beforeAutospacing="0" w:after="0" w:afterAutospacing="0"/>
      </w:pPr>
      <w:r>
        <w:rPr>
          <w:rFonts w:ascii="Arial" w:hAnsi="Arial" w:cs="Arial"/>
        </w:rPr>
        <w:t>Our current Board of Directors was elected on April 2012. In accordance with Article 31 of the Chilean Corporati</w:t>
      </w:r>
      <w:r>
        <w:rPr>
          <w:rFonts w:ascii="Arial" w:hAnsi="Arial" w:cs="Arial"/>
        </w:rPr>
        <w:t xml:space="preserve">ons Law, the Board of Director_s tenure will end at the end of the three-year period from the date of election. The following are the current members of the Board of Directors and their respective positions: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709"/>
        <w:gridCol w:w="364"/>
        <w:gridCol w:w="2013"/>
        <w:gridCol w:w="364"/>
        <w:gridCol w:w="76"/>
        <w:gridCol w:w="302"/>
        <w:gridCol w:w="112"/>
        <w:gridCol w:w="364"/>
        <w:gridCol w:w="379"/>
        <w:gridCol w:w="1511"/>
        <w:gridCol w:w="112"/>
      </w:tblGrid>
      <w:tr w:rsidR="00000000">
        <w:trPr>
          <w:jc w:val="center"/>
        </w:trPr>
        <w:tc>
          <w:tcPr>
            <w:tcW w:w="2600" w:type="pct"/>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Name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Position</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Age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Years at cencosu</w:t>
            </w:r>
            <w:r>
              <w:rPr>
                <w:rFonts w:ascii="Arial" w:eastAsia="Times New Roman" w:hAnsi="Arial" w:cs="Arial"/>
                <w:b/>
                <w:bCs/>
              </w:rPr>
              <w:t>d</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Horst Paulmann Kemna(2)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Chairman of the Board</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Heike Paulmann Koepfer(2)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Peter Paulmann Koepfer(2)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David Gallagher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Erasmo Wong Lu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Roberto Oscar Philipps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Cristi_n Eyzaguirre Johnston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Sven von Appen Behrmann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Julio Moura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Including years in other positions at Cencosud.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Horst Paulmann Kemna is the father of Heike Paulmann Koepfer and Peter Paulmann Koepfer. </w:t>
            </w:r>
          </w:p>
        </w:tc>
      </w:tr>
    </w:tbl>
    <w:p w:rsidR="00000000" w:rsidRDefault="003E5AFF">
      <w:pPr>
        <w:pStyle w:val="NormalWeb"/>
        <w:spacing w:before="120" w:beforeAutospacing="0" w:after="0" w:afterAutospacing="0"/>
      </w:pPr>
      <w:r>
        <w:rPr>
          <w:rFonts w:ascii="Arial" w:hAnsi="Arial" w:cs="Arial"/>
        </w:rPr>
        <w:t xml:space="preserve">The following biographies provide certain information about the members of our Board of Directors: </w:t>
      </w:r>
    </w:p>
    <w:p w:rsidR="00000000" w:rsidRDefault="003E5AFF">
      <w:pPr>
        <w:pStyle w:val="NormalWeb"/>
        <w:spacing w:before="120" w:beforeAutospacing="0" w:after="0" w:afterAutospacing="0"/>
      </w:pPr>
      <w:r>
        <w:rPr>
          <w:rFonts w:ascii="Arial" w:hAnsi="Arial" w:cs="Arial"/>
          <w:i/>
          <w:iCs/>
        </w:rPr>
        <w:t>Horst Paulmann Kemna</w:t>
      </w:r>
      <w:r>
        <w:rPr>
          <w:rFonts w:ascii="Arial" w:hAnsi="Arial" w:cs="Arial"/>
        </w:rPr>
        <w:t>.    Mr. Paulmann is our Chairman of the Board and founder of Cencosud S.A. He has served on our Board since November 1978. He has serve</w:t>
      </w:r>
      <w:r>
        <w:rPr>
          <w:rFonts w:ascii="Arial" w:hAnsi="Arial" w:cs="Arial"/>
        </w:rPr>
        <w:t>d as a Director of the Chilean_German Chamber of Commerce (CAMCHAL) and the Chilean Chamber of Commerce. Mr. Paulmann currently serves as President of the Chilean chapter of the Argentina_Chile Permanent Binational Business Board and is a member of the Arg</w:t>
      </w:r>
      <w:r>
        <w:rPr>
          <w:rFonts w:ascii="Arial" w:hAnsi="Arial" w:cs="Arial"/>
        </w:rPr>
        <w:t xml:space="preserve">entine Business Association (AEA).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- 229 - </w:t>
      </w:r>
    </w:p>
    <w:p w:rsidR="00000000" w:rsidRDefault="003E5AFF">
      <w:pPr>
        <w:rPr>
          <w:rFonts w:eastAsia="Times New Roman" w:cs="Times New Roman"/>
        </w:rPr>
      </w:pPr>
      <w:r>
        <w:rPr>
          <w:rFonts w:eastAsia="Times New Roman" w:cs="Times New Roman"/>
        </w:rPr>
        <w:pict>
          <v:rect id="_x0000_i1266" style="width:441.9pt;height:3pt" o:hralign="center" o:hrstd="t" o:hrnoshade="t" o:hr="t" fillcolor="#999" stroked="f"/>
        </w:pict>
      </w:r>
    </w:p>
    <w:p w:rsidR="00000000" w:rsidRDefault="003E5AFF">
      <w:pPr>
        <w:pStyle w:val="Heading5"/>
        <w:rPr>
          <w:rFonts w:eastAsia="Times New Roman" w:cs="Times New Roman"/>
        </w:rPr>
      </w:pPr>
      <w:hyperlink r:id="rId283"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i/>
          <w:iCs/>
        </w:rPr>
        <w:t>Heike Paulmann Koepfer</w:t>
      </w:r>
      <w:r>
        <w:rPr>
          <w:rFonts w:ascii="Arial" w:hAnsi="Arial" w:cs="Arial"/>
        </w:rPr>
        <w:t>.    Mrs. Paulmann has been a member of our Board of Directors since April 1999 and currently serves as Director of our Aventura Center family entertainment division. She has a degree in business from the Universidad de C</w:t>
      </w:r>
      <w:r>
        <w:rPr>
          <w:rFonts w:ascii="Arial" w:hAnsi="Arial" w:cs="Arial"/>
        </w:rPr>
        <w:t xml:space="preserve">hile and an MBA from </w:t>
      </w:r>
      <w:r>
        <w:rPr>
          <w:rFonts w:ascii="Arial" w:hAnsi="Arial" w:cs="Arial"/>
          <w:i/>
          <w:iCs/>
        </w:rPr>
        <w:t>Universidad Adolfo Iba_ez</w:t>
      </w:r>
      <w:r>
        <w:rPr>
          <w:rFonts w:ascii="Arial" w:hAnsi="Arial" w:cs="Arial"/>
        </w:rPr>
        <w:t xml:space="preserve">. </w:t>
      </w:r>
    </w:p>
    <w:p w:rsidR="00000000" w:rsidRDefault="003E5AFF">
      <w:pPr>
        <w:pStyle w:val="NormalWeb"/>
        <w:spacing w:before="120" w:beforeAutospacing="0" w:after="0" w:afterAutospacing="0"/>
      </w:pPr>
      <w:r>
        <w:rPr>
          <w:rFonts w:ascii="Arial" w:hAnsi="Arial" w:cs="Arial"/>
          <w:i/>
          <w:iCs/>
        </w:rPr>
        <w:t>Peter Paulmann Koepfer</w:t>
      </w:r>
      <w:r>
        <w:rPr>
          <w:rFonts w:ascii="Arial" w:hAnsi="Arial" w:cs="Arial"/>
        </w:rPr>
        <w:t>.    Mr. Paulmann has been a member of our Board of Directors since September 1996. Mr. Paulmann currently is the Chief Officer for Importadora y Comercial ReGEn Ltda. and has also serv</w:t>
      </w:r>
      <w:r>
        <w:rPr>
          <w:rFonts w:ascii="Arial" w:hAnsi="Arial" w:cs="Arial"/>
        </w:rPr>
        <w:t xml:space="preserve">ed as Director of our shopping center division in Chile since 2002. He has a degree in business from the </w:t>
      </w:r>
      <w:r>
        <w:rPr>
          <w:rFonts w:ascii="Arial" w:hAnsi="Arial" w:cs="Arial"/>
          <w:i/>
          <w:iCs/>
        </w:rPr>
        <w:t>Pontificia Universidad Cat_lica de Chile</w:t>
      </w:r>
      <w:r>
        <w:rPr>
          <w:rFonts w:ascii="Arial" w:hAnsi="Arial" w:cs="Arial"/>
        </w:rPr>
        <w:t xml:space="preserve">. </w:t>
      </w:r>
    </w:p>
    <w:p w:rsidR="00000000" w:rsidRDefault="003E5AFF">
      <w:pPr>
        <w:pStyle w:val="NormalWeb"/>
        <w:spacing w:before="120" w:beforeAutospacing="0" w:after="0" w:afterAutospacing="0"/>
      </w:pPr>
      <w:r>
        <w:rPr>
          <w:rFonts w:ascii="Arial" w:hAnsi="Arial" w:cs="Arial"/>
          <w:i/>
          <w:iCs/>
        </w:rPr>
        <w:t>David Gallagher</w:t>
      </w:r>
      <w:r>
        <w:rPr>
          <w:rFonts w:ascii="Arial" w:hAnsi="Arial" w:cs="Arial"/>
        </w:rPr>
        <w:t xml:space="preserve">.    David Gallagher has been a member of the Board of Directors since April 2011. He has an </w:t>
      </w:r>
      <w:r>
        <w:rPr>
          <w:rFonts w:ascii="Arial" w:hAnsi="Arial" w:cs="Arial"/>
        </w:rPr>
        <w:t>MA in Modern Languages at Oxford University. He is Chairman and Founding Partner of ASSET Chile S.A, and is a director and Executive Committee member of the Centro De Estudios Publicos. Prior to founding ASSET Chile in 1984, Mr. Gallagher spent 10 years at</w:t>
      </w:r>
      <w:r>
        <w:rPr>
          <w:rFonts w:ascii="Arial" w:hAnsi="Arial" w:cs="Arial"/>
        </w:rPr>
        <w:t xml:space="preserve"> Morgan Grenfell, where he became head of Latin American investment banking and director of Morgan Grenfell International. </w:t>
      </w:r>
    </w:p>
    <w:p w:rsidR="00000000" w:rsidRDefault="003E5AFF">
      <w:pPr>
        <w:pStyle w:val="NormalWeb"/>
        <w:spacing w:before="120" w:beforeAutospacing="0" w:after="0" w:afterAutospacing="0"/>
      </w:pPr>
      <w:r>
        <w:rPr>
          <w:rFonts w:ascii="Arial" w:hAnsi="Arial" w:cs="Arial"/>
          <w:i/>
          <w:iCs/>
        </w:rPr>
        <w:t>Erasmo Wong Lu</w:t>
      </w:r>
      <w:r>
        <w:rPr>
          <w:rFonts w:ascii="Arial" w:hAnsi="Arial" w:cs="Arial"/>
        </w:rPr>
        <w:t>.    Mr. Wong has been a member of our Board of Directors since 2008. Mr. Wong has a civil engineering degree from the</w:t>
      </w:r>
      <w:r>
        <w:rPr>
          <w:rFonts w:ascii="Arial" w:hAnsi="Arial" w:cs="Arial"/>
        </w:rPr>
        <w:t xml:space="preserve"> National University of Engineering and post graduate degrees from the High Management Program and the First Program for Presidents, both from the University of Piura. He has been President of GSI Association (Formerly EAN Peru) and is currently Vice-presi</w:t>
      </w:r>
      <w:r>
        <w:rPr>
          <w:rFonts w:ascii="Arial" w:hAnsi="Arial" w:cs="Arial"/>
        </w:rPr>
        <w:t xml:space="preserve">dent of the Marketing Association of Peru and the Retail and Department Stores Association. Prior to joining Cencosud, Mr. Wong was the president for Supermercados Wong in Peru until 2008, when it was acquired by Cencosud. </w:t>
      </w:r>
    </w:p>
    <w:p w:rsidR="00000000" w:rsidRDefault="003E5AFF">
      <w:pPr>
        <w:pStyle w:val="NormalWeb"/>
        <w:spacing w:before="120" w:beforeAutospacing="0" w:after="0" w:afterAutospacing="0"/>
      </w:pPr>
      <w:r>
        <w:rPr>
          <w:rFonts w:ascii="Arial" w:hAnsi="Arial" w:cs="Arial"/>
          <w:i/>
          <w:iCs/>
        </w:rPr>
        <w:t>Roberto Oscar Philipps</w:t>
      </w:r>
      <w:r>
        <w:rPr>
          <w:rFonts w:ascii="Arial" w:hAnsi="Arial" w:cs="Arial"/>
        </w:rPr>
        <w:t>.    Mr. P</w:t>
      </w:r>
      <w:r>
        <w:rPr>
          <w:rFonts w:ascii="Arial" w:hAnsi="Arial" w:cs="Arial"/>
        </w:rPr>
        <w:t>hilipps has been a member of our Board of Directors since 2003. He has held several executive positions with the Techint Organization and previously with Exxon Corporation. He is a former President of the Argentine Financial Executives Association and serv</w:t>
      </w:r>
      <w:r>
        <w:rPr>
          <w:rFonts w:ascii="Arial" w:hAnsi="Arial" w:cs="Arial"/>
        </w:rPr>
        <w:t xml:space="preserve">es on the board of companies in Chile and Argentina. Mr. Philipps has a degree in business administration and accounting from the </w:t>
      </w:r>
      <w:r>
        <w:rPr>
          <w:rFonts w:ascii="Arial" w:hAnsi="Arial" w:cs="Arial"/>
          <w:i/>
          <w:iCs/>
        </w:rPr>
        <w:t>Universidad de Buenos Aires</w:t>
      </w:r>
      <w:r>
        <w:rPr>
          <w:rFonts w:ascii="Arial" w:hAnsi="Arial" w:cs="Arial"/>
        </w:rPr>
        <w:t xml:space="preserve"> and AEP in Kellogg, Northwestern University. </w:t>
      </w:r>
    </w:p>
    <w:p w:rsidR="00000000" w:rsidRDefault="003E5AFF">
      <w:pPr>
        <w:pStyle w:val="NormalWeb"/>
        <w:spacing w:before="120" w:beforeAutospacing="0" w:after="0" w:afterAutospacing="0"/>
      </w:pPr>
      <w:r>
        <w:rPr>
          <w:rFonts w:ascii="Arial" w:hAnsi="Arial" w:cs="Arial"/>
          <w:i/>
          <w:iCs/>
        </w:rPr>
        <w:t>Cristi_n Eyzaguirre Johnston</w:t>
      </w:r>
      <w:r>
        <w:rPr>
          <w:rFonts w:ascii="Arial" w:hAnsi="Arial" w:cs="Arial"/>
        </w:rPr>
        <w:t xml:space="preserve">.    Mr. Eyzaguirre has </w:t>
      </w:r>
      <w:r>
        <w:rPr>
          <w:rFonts w:ascii="Arial" w:hAnsi="Arial" w:cs="Arial"/>
        </w:rPr>
        <w:t xml:space="preserve">been a member of our Board of Directors since 2005. He has an economics degree from </w:t>
      </w:r>
      <w:r>
        <w:rPr>
          <w:rFonts w:ascii="Arial" w:hAnsi="Arial" w:cs="Arial"/>
          <w:i/>
          <w:iCs/>
        </w:rPr>
        <w:t>Universidad de Chile</w:t>
      </w:r>
      <w:r>
        <w:rPr>
          <w:rFonts w:ascii="Arial" w:hAnsi="Arial" w:cs="Arial"/>
        </w:rPr>
        <w:t xml:space="preserve"> and a Master of Arts in Economics from University of California Berkeley. Mr. Eyzaguirre is the former Chief Executive Officer of Banco Bice and Chief </w:t>
      </w:r>
      <w:r>
        <w:rPr>
          <w:rFonts w:ascii="Arial" w:hAnsi="Arial" w:cs="Arial"/>
        </w:rPr>
        <w:t xml:space="preserve">Financial Officer of Empresas CMPC S.A., and was a professor of Economics at the </w:t>
      </w:r>
      <w:r>
        <w:rPr>
          <w:rFonts w:ascii="Arial" w:hAnsi="Arial" w:cs="Arial"/>
          <w:i/>
          <w:iCs/>
        </w:rPr>
        <w:t>Universidad de Chile</w:t>
      </w:r>
      <w:r>
        <w:rPr>
          <w:rFonts w:ascii="Arial" w:hAnsi="Arial" w:cs="Arial"/>
        </w:rPr>
        <w:t xml:space="preserve">. He is currently a Director of Besalco, E-CL, Agunsa, Grupo GTD Teleductos, Tel_fonica del Sur and Telef_nica de Coyhaique. </w:t>
      </w:r>
    </w:p>
    <w:p w:rsidR="00000000" w:rsidRDefault="003E5AFF">
      <w:pPr>
        <w:pStyle w:val="NormalWeb"/>
        <w:spacing w:before="120" w:beforeAutospacing="0" w:after="0" w:afterAutospacing="0"/>
      </w:pPr>
      <w:r>
        <w:rPr>
          <w:rFonts w:ascii="Arial" w:hAnsi="Arial" w:cs="Arial"/>
          <w:i/>
          <w:iCs/>
        </w:rPr>
        <w:t>Sven von Appen Behrmann</w:t>
      </w:r>
      <w:r>
        <w:rPr>
          <w:rFonts w:ascii="Arial" w:hAnsi="Arial" w:cs="Arial"/>
        </w:rPr>
        <w:t>.    M</w:t>
      </w:r>
      <w:r>
        <w:rPr>
          <w:rFonts w:ascii="Arial" w:hAnsi="Arial" w:cs="Arial"/>
        </w:rPr>
        <w:t>r. von Appen Behrmann has been a member of our Board of Directors since 2005. He currently is the Chairman of Ultragas Group, President of Endeavor Chile and Director of CAP and Invercap. Mr. von Appen has participated in a number of postgraduate studies a</w:t>
      </w:r>
      <w:r>
        <w:rPr>
          <w:rFonts w:ascii="Arial" w:hAnsi="Arial" w:cs="Arial"/>
        </w:rPr>
        <w:t xml:space="preserve">t Harvard and IMD. He participates in several external boards in South America and Europe. He is director at the Universidad Adolfo Iba_ez and the Latin American Advisory Board of Harvard Business School. </w:t>
      </w:r>
    </w:p>
    <w:p w:rsidR="00000000" w:rsidRDefault="003E5AFF">
      <w:pPr>
        <w:pStyle w:val="NormalWeb"/>
        <w:spacing w:before="120" w:beforeAutospacing="0" w:after="0" w:afterAutospacing="0"/>
      </w:pPr>
      <w:r>
        <w:rPr>
          <w:rFonts w:ascii="Arial" w:hAnsi="Arial" w:cs="Arial"/>
          <w:i/>
          <w:iCs/>
        </w:rPr>
        <w:t>Julio Moura</w:t>
      </w:r>
      <w:r>
        <w:rPr>
          <w:rFonts w:ascii="Arial" w:hAnsi="Arial" w:cs="Arial"/>
        </w:rPr>
        <w:t>.    Mr. Moura has been a member of our</w:t>
      </w:r>
      <w:r>
        <w:rPr>
          <w:rFonts w:ascii="Arial" w:hAnsi="Arial" w:cs="Arial"/>
        </w:rPr>
        <w:t xml:space="preserve"> Board of Directors since September 2011. Mr. Moura also serves as a director of Natura Cosm_ticos, Adecoagro and Brinox and as Chairman of Instituto Arapya_. Prior to joining Cencosud, Mr. Moura served as Chairman of Masisa from 2002 to 2007 and as Execut</w:t>
      </w:r>
      <w:r>
        <w:rPr>
          <w:rFonts w:ascii="Arial" w:hAnsi="Arial" w:cs="Arial"/>
        </w:rPr>
        <w:t xml:space="preserve">ive Vice President of Schindler Group, Switzerland, from 1992 to 1997. Mr. Moura holds a Master_s Degree from M.I.T._s Sloan School of Management and an Engineering Degree from the Swiss Federal Institute of Technology (ETH).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- 230 - </w:t>
      </w:r>
    </w:p>
    <w:p w:rsidR="00000000" w:rsidRDefault="003E5AFF">
      <w:pPr>
        <w:rPr>
          <w:rFonts w:eastAsia="Times New Roman" w:cs="Times New Roman"/>
        </w:rPr>
      </w:pPr>
      <w:r>
        <w:rPr>
          <w:rFonts w:eastAsia="Times New Roman" w:cs="Times New Roman"/>
        </w:rPr>
        <w:pict>
          <v:rect id="_x0000_i1267" style="width:441.9pt;height:3pt" o:hralign="center" o:hrstd="t" o:hrnoshade="t" o:hr="t" fillcolor="#999" stroked="f"/>
        </w:pict>
      </w:r>
    </w:p>
    <w:p w:rsidR="00000000" w:rsidRDefault="003E5AFF">
      <w:pPr>
        <w:pStyle w:val="Heading5"/>
        <w:rPr>
          <w:rFonts w:eastAsia="Times New Roman" w:cs="Times New Roman"/>
        </w:rPr>
      </w:pPr>
      <w:hyperlink r:id="rId28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Executive officers </w:t>
      </w:r>
    </w:p>
    <w:p w:rsidR="00000000" w:rsidRDefault="003E5AFF">
      <w:pPr>
        <w:pStyle w:val="NormalWeb"/>
        <w:spacing w:before="120" w:beforeAutospacing="0" w:after="0" w:afterAutospacing="0"/>
      </w:pPr>
      <w:r>
        <w:rPr>
          <w:rFonts w:ascii="Arial" w:hAnsi="Arial" w:cs="Arial"/>
        </w:rPr>
        <w:t xml:space="preserve">Our executive officers are appointed by our Board of Directors and hold office at the discretion of the Board. The following are our current executive officers: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069"/>
        <w:gridCol w:w="195"/>
        <w:gridCol w:w="4080"/>
        <w:gridCol w:w="194"/>
        <w:gridCol w:w="76"/>
        <w:gridCol w:w="302"/>
        <w:gridCol w:w="194"/>
        <w:gridCol w:w="194"/>
        <w:gridCol w:w="379"/>
        <w:gridCol w:w="1511"/>
        <w:gridCol w:w="112"/>
      </w:tblGrid>
      <w:tr w:rsidR="00000000">
        <w:trPr>
          <w:jc w:val="center"/>
        </w:trPr>
        <w:tc>
          <w:tcPr>
            <w:tcW w:w="1650" w:type="pct"/>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3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Name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Position</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Age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noWrap/>
            <w:vAlign w:val="bottom"/>
            <w:hideMark/>
          </w:tcPr>
          <w:p w:rsidR="00000000" w:rsidRDefault="003E5AFF">
            <w:pPr>
              <w:jc w:val="right"/>
              <w:rPr>
                <w:rFonts w:eastAsia="Times New Roman" w:cs="Times New Roman"/>
              </w:rPr>
            </w:pPr>
            <w:r>
              <w:rPr>
                <w:rFonts w:ascii="Arial" w:eastAsia="Times New Roman" w:hAnsi="Arial" w:cs="Arial"/>
                <w:b/>
                <w:bCs/>
              </w:rPr>
              <w:t>Years at cencosu</w:t>
            </w:r>
            <w:r>
              <w:rPr>
                <w:rFonts w:ascii="Arial" w:eastAsia="Times New Roman" w:hAnsi="Arial" w:cs="Arial"/>
                <w:b/>
                <w:bCs/>
              </w:rPr>
              <w:t>d</w:t>
            </w:r>
            <w:r>
              <w:rPr>
                <w:rFonts w:ascii="Arial" w:eastAsia="Times New Roman" w:hAnsi="Arial" w:cs="Arial"/>
                <w:b/>
                <w:bCs/>
                <w:sz w:val="15"/>
                <w:szCs w:val="15"/>
                <w:vertAlign w:val="superscript"/>
              </w:rPr>
              <w:t>(1)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Daniel Rodr_guez</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Chief Executive Officer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Juan Manuel Parada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Chief Financial Office</w:t>
            </w:r>
            <w:r>
              <w:rPr>
                <w:rFonts w:ascii="Arial" w:eastAsia="Times New Roman" w:hAnsi="Arial" w:cs="Arial"/>
              </w:rPr>
              <w:t>r</w:t>
            </w:r>
            <w:r>
              <w:rPr>
                <w:rFonts w:ascii="Arial" w:eastAsia="Times New Roman" w:hAnsi="Arial" w:cs="Arial"/>
                <w:sz w:val="15"/>
                <w:szCs w:val="15"/>
                <w:vertAlign w:val="superscript"/>
              </w:rPr>
              <w:t>(2)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Rodrigo Hetz</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Human Resources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Mauricio Soto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Customer and Digital Sales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Carlos Mechetti</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General Counsel</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Bronislao Jandzio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Audit Managing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Pablo Castillo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Supermarkets Managing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Carlos Wulf</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Home Improvement Stores Managing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Jaime Soler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Department Stores Managing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Patricio Rivas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Financial Retail Managing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Renzo Paonessa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Real Estate </w:t>
            </w:r>
            <w:r>
              <w:rPr>
                <w:rFonts w:ascii="Arial" w:eastAsia="Times New Roman" w:hAnsi="Arial" w:cs="Arial"/>
              </w:rPr>
              <w:t>Managing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Marcelo Reyes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Corporate Risk Managing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Pietro Illuminati</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Procurement Director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Renato Fernandez</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Corporate Affairs Manager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38</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0"/>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Including years in other positions at Cencosud.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Effective July 1, 2012. </w:t>
            </w:r>
          </w:p>
        </w:tc>
      </w:tr>
    </w:tbl>
    <w:p w:rsidR="00000000" w:rsidRDefault="003E5AFF">
      <w:pPr>
        <w:pStyle w:val="NormalWeb"/>
        <w:spacing w:before="120" w:beforeAutospacing="0" w:after="0" w:afterAutospacing="0"/>
      </w:pPr>
      <w:r>
        <w:rPr>
          <w:rFonts w:ascii="Arial" w:hAnsi="Arial" w:cs="Arial"/>
        </w:rPr>
        <w:t xml:space="preserve">The following is a brief summary of the </w:t>
      </w:r>
      <w:r>
        <w:rPr>
          <w:rFonts w:ascii="Arial" w:hAnsi="Arial" w:cs="Arial"/>
        </w:rPr>
        <w:t xml:space="preserve">business experience of our executive officers: </w:t>
      </w:r>
    </w:p>
    <w:p w:rsidR="00000000" w:rsidRDefault="003E5AFF">
      <w:pPr>
        <w:pStyle w:val="NormalWeb"/>
        <w:spacing w:before="120" w:beforeAutospacing="0" w:after="0" w:afterAutospacing="0"/>
      </w:pPr>
      <w:r>
        <w:rPr>
          <w:rFonts w:ascii="Arial" w:hAnsi="Arial" w:cs="Arial"/>
          <w:i/>
          <w:iCs/>
        </w:rPr>
        <w:t>Daniel Rodr_guez</w:t>
      </w:r>
      <w:r>
        <w:rPr>
          <w:rFonts w:ascii="Arial" w:hAnsi="Arial" w:cs="Arial"/>
        </w:rPr>
        <w:t xml:space="preserve">.    Mr. Rodriguez has been our Chief Executive Officer since 2009. He also served as our Chief Financial Officer. Mr. Rodr_guez has a degree in Forestal Engineering from the </w:t>
      </w:r>
      <w:r>
        <w:rPr>
          <w:rFonts w:ascii="Arial" w:hAnsi="Arial" w:cs="Arial"/>
          <w:i/>
          <w:iCs/>
        </w:rPr>
        <w:t>Universidad Austr</w:t>
      </w:r>
      <w:r>
        <w:rPr>
          <w:rFonts w:ascii="Arial" w:hAnsi="Arial" w:cs="Arial"/>
          <w:i/>
          <w:iCs/>
        </w:rPr>
        <w:t>al de Chile</w:t>
      </w:r>
      <w:r>
        <w:rPr>
          <w:rFonts w:ascii="Arial" w:hAnsi="Arial" w:cs="Arial"/>
        </w:rPr>
        <w:t xml:space="preserve"> and a Executive MBA from the </w:t>
      </w:r>
      <w:r>
        <w:rPr>
          <w:rFonts w:ascii="Arial" w:hAnsi="Arial" w:cs="Arial"/>
          <w:i/>
          <w:iCs/>
        </w:rPr>
        <w:t>Universidad Adolfo Iba_ez</w:t>
      </w:r>
      <w:r>
        <w:rPr>
          <w:rFonts w:ascii="Arial" w:hAnsi="Arial" w:cs="Arial"/>
        </w:rPr>
        <w:t xml:space="preserve">. Prior to joining us he worked for Shell Chile, Ecuador, Argentina and Shell International, as Lubricants Transport Global Finance Manager and Lubricants Europe/Africa Finance Manager from </w:t>
      </w:r>
      <w:r>
        <w:rPr>
          <w:rFonts w:ascii="Arial" w:hAnsi="Arial" w:cs="Arial"/>
        </w:rPr>
        <w:t xml:space="preserve">2004-2008. Mr. Rodr_guez has also been temporarily appointed interim Corporate Affairs Managing Director and Human Resources Managing Director. </w:t>
      </w:r>
    </w:p>
    <w:p w:rsidR="00000000" w:rsidRDefault="003E5AFF">
      <w:pPr>
        <w:pStyle w:val="NormalWeb"/>
        <w:spacing w:before="120" w:beforeAutospacing="0" w:after="0" w:afterAutospacing="0"/>
      </w:pPr>
      <w:r>
        <w:rPr>
          <w:rFonts w:ascii="Arial" w:hAnsi="Arial" w:cs="Arial"/>
          <w:i/>
          <w:iCs/>
        </w:rPr>
        <w:t>Juan Manuel Parada</w:t>
      </w:r>
      <w:r>
        <w:rPr>
          <w:rFonts w:ascii="Arial" w:hAnsi="Arial" w:cs="Arial"/>
        </w:rPr>
        <w:t>.    Mr. Parada will serve as our Chief Financial Officer, effective July 1, 2012. Since 2008</w:t>
      </w:r>
      <w:r>
        <w:rPr>
          <w:rFonts w:ascii="Arial" w:hAnsi="Arial" w:cs="Arial"/>
        </w:rPr>
        <w:t xml:space="preserve">, he was General Manager of our supermarkets operations in Peru. Prior to 2008, Mr. Parada worked in various leadership roles in Cencosud. Mr. Parada has also served as Regional Manager of </w:t>
      </w:r>
      <w:r>
        <w:rPr>
          <w:rFonts w:ascii="Arial" w:hAnsi="Arial" w:cs="Arial"/>
          <w:i/>
          <w:iCs/>
        </w:rPr>
        <w:t>Aeropuertos de Lan Airlines</w:t>
      </w:r>
      <w:r>
        <w:rPr>
          <w:rFonts w:ascii="Arial" w:hAnsi="Arial" w:cs="Arial"/>
        </w:rPr>
        <w:t xml:space="preserve"> and as a senior consultant at Accenture</w:t>
      </w:r>
      <w:r>
        <w:rPr>
          <w:rFonts w:ascii="Arial" w:hAnsi="Arial" w:cs="Arial"/>
        </w:rPr>
        <w:t xml:space="preserve">, based in Buenos Aires and London. Mr. Parada has a degree in Business Administration from Blaise Pascal University of Cordoba and an MBA from the MIT Sloan School of Management. </w:t>
      </w:r>
    </w:p>
    <w:p w:rsidR="00000000" w:rsidRDefault="003E5AFF">
      <w:pPr>
        <w:pStyle w:val="NormalWeb"/>
        <w:spacing w:before="120" w:beforeAutospacing="0" w:after="0" w:afterAutospacing="0"/>
      </w:pPr>
      <w:r>
        <w:rPr>
          <w:rFonts w:ascii="Arial" w:hAnsi="Arial" w:cs="Arial"/>
          <w:i/>
          <w:iCs/>
        </w:rPr>
        <w:t>Rodrigo Hetz</w:t>
      </w:r>
      <w:r>
        <w:rPr>
          <w:rFonts w:ascii="Arial" w:hAnsi="Arial" w:cs="Arial"/>
        </w:rPr>
        <w:t>.    Mr. Hetz has been our HR Director since April 2011. He has</w:t>
      </w:r>
      <w:r>
        <w:rPr>
          <w:rFonts w:ascii="Arial" w:hAnsi="Arial" w:cs="Arial"/>
        </w:rPr>
        <w:t xml:space="preserve"> a degree in Industrial Engineering from the Universidad de Chile and an MBA from the University of California_Berkeley. He also worked at McKinsey &amp; Co. from 2006 to 2011, advising companies in different countries on strategy and organizational effectiven</w:t>
      </w:r>
      <w:r>
        <w:rPr>
          <w:rFonts w:ascii="Arial" w:hAnsi="Arial" w:cs="Arial"/>
        </w:rPr>
        <w:t xml:space="preserve">ess. From 1999 to 2004, Mr. Hetz worked at Citibank in HR management roles including Senior HR generalists, compensation &amp; benefits, M&amp;A/Integration, and organizational development positions. </w:t>
      </w:r>
    </w:p>
    <w:p w:rsidR="00000000" w:rsidRDefault="003E5AFF">
      <w:pPr>
        <w:pStyle w:val="NormalWeb"/>
        <w:spacing w:before="120" w:beforeAutospacing="0" w:after="0" w:afterAutospacing="0"/>
      </w:pPr>
      <w:r>
        <w:rPr>
          <w:rFonts w:ascii="Arial" w:hAnsi="Arial" w:cs="Arial"/>
          <w:i/>
          <w:iCs/>
        </w:rPr>
        <w:t>Mauricio Soto</w:t>
      </w:r>
      <w:r>
        <w:rPr>
          <w:rFonts w:ascii="Arial" w:hAnsi="Arial" w:cs="Arial"/>
        </w:rPr>
        <w:t>.    Mr. Soto has been our Customer and Digital Sa</w:t>
      </w:r>
      <w:r>
        <w:rPr>
          <w:rFonts w:ascii="Arial" w:hAnsi="Arial" w:cs="Arial"/>
        </w:rPr>
        <w:t xml:space="preserve">les Director since April 2011. He has a degree in Business and Economic from the Pontificia Universidad Cat_lica de Chile. He also served as Sales and Operation Director for our department stores segment from January 2008 to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- 231 - </w:t>
      </w:r>
    </w:p>
    <w:p w:rsidR="00000000" w:rsidRDefault="003E5AFF">
      <w:pPr>
        <w:rPr>
          <w:rFonts w:eastAsia="Times New Roman" w:cs="Times New Roman"/>
        </w:rPr>
      </w:pPr>
      <w:r>
        <w:rPr>
          <w:rFonts w:eastAsia="Times New Roman" w:cs="Times New Roman"/>
        </w:rPr>
        <w:pict>
          <v:rect id="_x0000_i1268" style="width:441.9pt;height:3pt" o:hralign="center" o:hrstd="t" o:hrnoshade="t" o:hr="t" fillcolor="#999" stroked="f"/>
        </w:pict>
      </w:r>
    </w:p>
    <w:p w:rsidR="00000000" w:rsidRDefault="003E5AFF">
      <w:pPr>
        <w:pStyle w:val="Heading5"/>
        <w:rPr>
          <w:rFonts w:eastAsia="Times New Roman" w:cs="Times New Roman"/>
        </w:rPr>
      </w:pPr>
      <w:hyperlink r:id="rId28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April 2011 and as Development Director for our department store</w:t>
      </w:r>
      <w:r>
        <w:rPr>
          <w:rFonts w:ascii="Arial" w:hAnsi="Arial" w:cs="Arial"/>
        </w:rPr>
        <w:t xml:space="preserve">s segment from April 2007 to January 2008. Prior to joining Cencosud, Mr. Soto was the Marketing and Development Director for ABCDIN Department Stores from March 2004 to April 2007. </w:t>
      </w:r>
    </w:p>
    <w:p w:rsidR="00000000" w:rsidRDefault="003E5AFF">
      <w:pPr>
        <w:pStyle w:val="NormalWeb"/>
        <w:spacing w:before="120" w:beforeAutospacing="0" w:after="0" w:afterAutospacing="0"/>
      </w:pPr>
      <w:r>
        <w:rPr>
          <w:rFonts w:ascii="Arial" w:hAnsi="Arial" w:cs="Arial"/>
          <w:i/>
          <w:iCs/>
        </w:rPr>
        <w:t>Carlos Mechetti</w:t>
      </w:r>
      <w:r>
        <w:rPr>
          <w:rFonts w:ascii="Arial" w:hAnsi="Arial" w:cs="Arial"/>
        </w:rPr>
        <w:t>.    Mr. Mechetti has been our General Counsel since 1999.</w:t>
      </w:r>
      <w:r>
        <w:rPr>
          <w:rFonts w:ascii="Arial" w:hAnsi="Arial" w:cs="Arial"/>
        </w:rPr>
        <w:t xml:space="preserve"> He graduated from </w:t>
      </w:r>
      <w:r>
        <w:rPr>
          <w:rFonts w:ascii="Arial" w:hAnsi="Arial" w:cs="Arial"/>
          <w:i/>
          <w:iCs/>
        </w:rPr>
        <w:t>Universidad del Museo Social Argentino</w:t>
      </w:r>
      <w:r>
        <w:rPr>
          <w:rFonts w:ascii="Arial" w:hAnsi="Arial" w:cs="Arial"/>
        </w:rPr>
        <w:t xml:space="preserve"> in 1993 and joined us in 1994 as counsel to our shopping center division in Argentina. In 1999, he was appointed General Counsel. Mr. Mechetti has taken different post-graduate courses at UBA, UADE,</w:t>
      </w:r>
      <w:r>
        <w:rPr>
          <w:rFonts w:ascii="Arial" w:hAnsi="Arial" w:cs="Arial"/>
        </w:rPr>
        <w:t xml:space="preserve"> CEMA and Harvard University. </w:t>
      </w:r>
    </w:p>
    <w:p w:rsidR="00000000" w:rsidRDefault="003E5AFF">
      <w:pPr>
        <w:pStyle w:val="NormalWeb"/>
        <w:spacing w:before="120" w:beforeAutospacing="0" w:after="0" w:afterAutospacing="0"/>
      </w:pPr>
      <w:r>
        <w:rPr>
          <w:rFonts w:ascii="Arial" w:hAnsi="Arial" w:cs="Arial"/>
          <w:i/>
          <w:iCs/>
        </w:rPr>
        <w:t>Bronislao Jandzio</w:t>
      </w:r>
      <w:r>
        <w:rPr>
          <w:rFonts w:ascii="Arial" w:hAnsi="Arial" w:cs="Arial"/>
        </w:rPr>
        <w:t>.    Mr. Jandzio has been our Audit Managing Director since 1998. Before joining Cencosud, he was the Regional Chief for the Global Accounting Department for the Deutsche Bank Group in Frankfurt, Germany. Mr.</w:t>
      </w:r>
      <w:r>
        <w:rPr>
          <w:rFonts w:ascii="Arial" w:hAnsi="Arial" w:cs="Arial"/>
        </w:rPr>
        <w:t xml:space="preserve"> Jandzio has a </w:t>
      </w:r>
      <w:r>
        <w:rPr>
          <w:rFonts w:ascii="Arial" w:hAnsi="Arial" w:cs="Arial"/>
          <w:i/>
          <w:iCs/>
        </w:rPr>
        <w:t>Banklehre</w:t>
      </w:r>
      <w:r>
        <w:rPr>
          <w:rFonts w:ascii="Arial" w:hAnsi="Arial" w:cs="Arial"/>
        </w:rPr>
        <w:t xml:space="preserve"> diploma from the German Banking Academy. </w:t>
      </w:r>
    </w:p>
    <w:p w:rsidR="00000000" w:rsidRDefault="003E5AFF">
      <w:pPr>
        <w:pStyle w:val="NormalWeb"/>
        <w:spacing w:before="120" w:beforeAutospacing="0" w:after="0" w:afterAutospacing="0"/>
      </w:pPr>
      <w:r>
        <w:rPr>
          <w:rFonts w:ascii="Arial" w:hAnsi="Arial" w:cs="Arial"/>
          <w:i/>
          <w:iCs/>
        </w:rPr>
        <w:t>Pablo Castillo</w:t>
      </w:r>
      <w:r>
        <w:rPr>
          <w:rFonts w:ascii="Arial" w:hAnsi="Arial" w:cs="Arial"/>
        </w:rPr>
        <w:t>.    Mr. Castillo has been our Supermarkets Managing Director since 2008. Previously he served as our Department Store Managing Director and Chief Administrative and Financial</w:t>
      </w:r>
      <w:r>
        <w:rPr>
          <w:rFonts w:ascii="Arial" w:hAnsi="Arial" w:cs="Arial"/>
        </w:rPr>
        <w:t xml:space="preserve"> Officer. Prior to joining Cencosud in 2001, Mr. Castillo was the Chief Financial Officer of Compa?_a Sudamericana de Vapores and Resident Vice-president in the Corporate Finance Area of Citicorp Chile S.A. Mr. Castillo has a degree in Business and Economi</w:t>
      </w:r>
      <w:r>
        <w:rPr>
          <w:rFonts w:ascii="Arial" w:hAnsi="Arial" w:cs="Arial"/>
        </w:rPr>
        <w:t xml:space="preserve">cs from the </w:t>
      </w:r>
      <w:r>
        <w:rPr>
          <w:rFonts w:ascii="Arial" w:hAnsi="Arial" w:cs="Arial"/>
          <w:i/>
          <w:iCs/>
        </w:rPr>
        <w:t>Pontificia Universidad Cat_lica de Chile</w:t>
      </w:r>
      <w:r>
        <w:rPr>
          <w:rFonts w:ascii="Arial" w:hAnsi="Arial" w:cs="Arial"/>
        </w:rPr>
        <w:t xml:space="preserve"> and a master in Economics from the University of California. </w:t>
      </w:r>
    </w:p>
    <w:p w:rsidR="00000000" w:rsidRDefault="003E5AFF">
      <w:pPr>
        <w:pStyle w:val="NormalWeb"/>
        <w:spacing w:before="120" w:beforeAutospacing="0" w:after="0" w:afterAutospacing="0"/>
      </w:pPr>
      <w:r>
        <w:rPr>
          <w:rFonts w:ascii="Arial" w:hAnsi="Arial" w:cs="Arial"/>
          <w:i/>
          <w:iCs/>
        </w:rPr>
        <w:t>Carlos Wulf</w:t>
      </w:r>
      <w:r>
        <w:rPr>
          <w:rFonts w:ascii="Arial" w:hAnsi="Arial" w:cs="Arial"/>
        </w:rPr>
        <w:t>.    Mr. Wulf has been our Home Improvement Stores Managing Director since 2004. Mr. Wulf has a degree in naval engineering and wa</w:t>
      </w:r>
      <w:r>
        <w:rPr>
          <w:rFonts w:ascii="Arial" w:hAnsi="Arial" w:cs="Arial"/>
        </w:rPr>
        <w:t xml:space="preserve">s formerly Manager of Easy Chile. Before joining Cencosud, he worked at Homecenter Sodimac and Exxon. </w:t>
      </w:r>
    </w:p>
    <w:p w:rsidR="00000000" w:rsidRDefault="003E5AFF">
      <w:pPr>
        <w:pStyle w:val="NormalWeb"/>
        <w:spacing w:before="120" w:beforeAutospacing="0" w:after="0" w:afterAutospacing="0"/>
      </w:pPr>
      <w:r>
        <w:rPr>
          <w:rFonts w:ascii="Arial" w:hAnsi="Arial" w:cs="Arial"/>
          <w:i/>
          <w:iCs/>
        </w:rPr>
        <w:t>Jaime Soler</w:t>
      </w:r>
      <w:r>
        <w:rPr>
          <w:rFonts w:ascii="Arial" w:hAnsi="Arial" w:cs="Arial"/>
        </w:rPr>
        <w:t>.    Mr. Soler has been our Department Stores Managing Director since 2008. He graduated with a degree in Commercial Engineering from the</w:t>
      </w:r>
      <w:r>
        <w:rPr>
          <w:rFonts w:ascii="Arial" w:hAnsi="Arial" w:cs="Arial"/>
          <w:i/>
          <w:iCs/>
        </w:rPr>
        <w:t xml:space="preserve"> Pont</w:t>
      </w:r>
      <w:r>
        <w:rPr>
          <w:rFonts w:ascii="Arial" w:hAnsi="Arial" w:cs="Arial"/>
          <w:i/>
          <w:iCs/>
        </w:rPr>
        <w:t>ificia Universidad Cat_lica de Chile</w:t>
      </w:r>
      <w:r>
        <w:rPr>
          <w:rFonts w:ascii="Arial" w:hAnsi="Arial" w:cs="Arial"/>
        </w:rPr>
        <w:t xml:space="preserve">. He also graduated from the Executive Development Program from the Kellogg Graduate School of Management at Northwestern University. Before joining Cencosud in 2005, he worked at Falabella as Acquisitions Manager. </w:t>
      </w:r>
    </w:p>
    <w:p w:rsidR="00000000" w:rsidRDefault="003E5AFF">
      <w:pPr>
        <w:pStyle w:val="NormalWeb"/>
        <w:spacing w:before="120" w:beforeAutospacing="0" w:after="0" w:afterAutospacing="0"/>
      </w:pPr>
      <w:r>
        <w:rPr>
          <w:rFonts w:ascii="Arial" w:hAnsi="Arial" w:cs="Arial"/>
          <w:i/>
          <w:iCs/>
        </w:rPr>
        <w:t>Patr</w:t>
      </w:r>
      <w:r>
        <w:rPr>
          <w:rFonts w:ascii="Arial" w:hAnsi="Arial" w:cs="Arial"/>
          <w:i/>
          <w:iCs/>
        </w:rPr>
        <w:t>icio Rivas</w:t>
      </w:r>
      <w:r>
        <w:rPr>
          <w:rFonts w:ascii="Arial" w:hAnsi="Arial" w:cs="Arial"/>
        </w:rPr>
        <w:t xml:space="preserve">.    Mr. Rivas has been our Financial Retail Managing Director since 2011. Previously he served as our Corporate Risk Managing Director from 2010 to 2011. He graduated with a degree in Business Administration from the </w:t>
      </w:r>
      <w:r>
        <w:rPr>
          <w:rFonts w:ascii="Arial" w:hAnsi="Arial" w:cs="Arial"/>
          <w:i/>
          <w:iCs/>
        </w:rPr>
        <w:t>Pontificia Universidad Cat_l</w:t>
      </w:r>
      <w:r>
        <w:rPr>
          <w:rFonts w:ascii="Arial" w:hAnsi="Arial" w:cs="Arial"/>
          <w:i/>
          <w:iCs/>
        </w:rPr>
        <w:t>ica de Chile</w:t>
      </w:r>
      <w:r>
        <w:rPr>
          <w:rFonts w:ascii="Arial" w:hAnsi="Arial" w:cs="Arial"/>
        </w:rPr>
        <w:t xml:space="preserve">. Before joining Cencosud, he worked in the banking sector for over 15 years, primarily at Citibank in different roles and areas, including Strategic Planning, Treasury and Controlling. </w:t>
      </w:r>
    </w:p>
    <w:p w:rsidR="00000000" w:rsidRDefault="003E5AFF">
      <w:pPr>
        <w:pStyle w:val="NormalWeb"/>
        <w:spacing w:before="120" w:beforeAutospacing="0" w:after="0" w:afterAutospacing="0"/>
      </w:pPr>
      <w:r>
        <w:rPr>
          <w:rFonts w:ascii="Arial" w:hAnsi="Arial" w:cs="Arial"/>
          <w:i/>
          <w:iCs/>
        </w:rPr>
        <w:t>Renzo Paonessa</w:t>
      </w:r>
      <w:r>
        <w:rPr>
          <w:rFonts w:ascii="Arial" w:hAnsi="Arial" w:cs="Arial"/>
        </w:rPr>
        <w:t>.    Mr. </w:t>
      </w:r>
      <w:r>
        <w:rPr>
          <w:rFonts w:ascii="Arial" w:hAnsi="Arial" w:cs="Arial"/>
        </w:rPr>
        <w:t>Paonessa has been our corporate Managing Director of Projects and Construction since March 2011. From 2009 to March 2011, Mr. Paonessa served as our Manager of Projects and Construction for Chile, and previously served as the Manager of Development for our</w:t>
      </w:r>
      <w:r>
        <w:rPr>
          <w:rFonts w:ascii="Arial" w:hAnsi="Arial" w:cs="Arial"/>
        </w:rPr>
        <w:t xml:space="preserve"> Paris department stores. He graduated with a degree in Engineering from the </w:t>
      </w:r>
      <w:r>
        <w:rPr>
          <w:rFonts w:ascii="Arial" w:hAnsi="Arial" w:cs="Arial"/>
          <w:i/>
          <w:iCs/>
        </w:rPr>
        <w:t>Universidad Cat_lica de Valaparaiso</w:t>
      </w:r>
      <w:r>
        <w:rPr>
          <w:rFonts w:ascii="Arial" w:hAnsi="Arial" w:cs="Arial"/>
        </w:rPr>
        <w:t xml:space="preserve">. Prior joining Cencosud, Mr. Paonessa spent six years with Falabella. </w:t>
      </w:r>
    </w:p>
    <w:p w:rsidR="00000000" w:rsidRDefault="003E5AFF">
      <w:pPr>
        <w:pStyle w:val="NormalWeb"/>
        <w:spacing w:before="120" w:beforeAutospacing="0" w:after="0" w:afterAutospacing="0"/>
      </w:pPr>
      <w:r>
        <w:rPr>
          <w:rFonts w:ascii="Arial" w:hAnsi="Arial" w:cs="Arial"/>
          <w:i/>
          <w:iCs/>
        </w:rPr>
        <w:t>Marcelo Reyes</w:t>
      </w:r>
      <w:r>
        <w:rPr>
          <w:rFonts w:ascii="Arial" w:hAnsi="Arial" w:cs="Arial"/>
        </w:rPr>
        <w:t>.    Mr. Reyes has been our Corporate Risk Managing Directo</w:t>
      </w:r>
      <w:r>
        <w:rPr>
          <w:rFonts w:ascii="Arial" w:hAnsi="Arial" w:cs="Arial"/>
        </w:rPr>
        <w:t xml:space="preserve">r since December 2011. He has worked for Cencosud for the last nine years, previously serving as Risk Director of Credit Card Business in Chile. He graduated with a degree in Business Administration from the </w:t>
      </w:r>
      <w:r>
        <w:rPr>
          <w:rFonts w:ascii="Arial" w:hAnsi="Arial" w:cs="Arial"/>
          <w:i/>
          <w:iCs/>
        </w:rPr>
        <w:t>Pontificia Universidad Cat_lica de Valpara_so</w:t>
      </w:r>
      <w:r>
        <w:rPr>
          <w:rFonts w:ascii="Arial" w:hAnsi="Arial" w:cs="Arial"/>
        </w:rPr>
        <w:t xml:space="preserve"> an</w:t>
      </w:r>
      <w:r>
        <w:rPr>
          <w:rFonts w:ascii="Arial" w:hAnsi="Arial" w:cs="Arial"/>
        </w:rPr>
        <w:t xml:space="preserve">d earned an MBA from </w:t>
      </w:r>
      <w:r>
        <w:rPr>
          <w:rFonts w:ascii="Arial" w:hAnsi="Arial" w:cs="Arial"/>
          <w:i/>
          <w:iCs/>
        </w:rPr>
        <w:t>Tulane University</w:t>
      </w:r>
      <w:r>
        <w:rPr>
          <w:rFonts w:ascii="Arial" w:hAnsi="Arial" w:cs="Arial"/>
        </w:rPr>
        <w:t xml:space="preserve">, New Orleans, and from the </w:t>
      </w:r>
      <w:r>
        <w:rPr>
          <w:rFonts w:ascii="Arial" w:hAnsi="Arial" w:cs="Arial"/>
          <w:i/>
          <w:iCs/>
        </w:rPr>
        <w:t>Universidad de Chile</w:t>
      </w:r>
      <w:r>
        <w:rPr>
          <w:rFonts w:ascii="Arial" w:hAnsi="Arial" w:cs="Arial"/>
        </w:rPr>
        <w:t xml:space="preserve">. He also worked at Banco Santander in executive positions in Risk Area for Retail and Consumer Banking, from 1992 to 2002 and United Nations from 1990 to 1992.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- 232 </w:t>
      </w:r>
      <w:r>
        <w:rPr>
          <w:rFonts w:ascii="Arial" w:hAnsi="Arial" w:cs="Arial"/>
        </w:rPr>
        <w:t xml:space="preserve">- </w:t>
      </w:r>
    </w:p>
    <w:p w:rsidR="00000000" w:rsidRDefault="003E5AFF">
      <w:pPr>
        <w:rPr>
          <w:rFonts w:eastAsia="Times New Roman" w:cs="Times New Roman"/>
        </w:rPr>
      </w:pPr>
      <w:r>
        <w:rPr>
          <w:rFonts w:eastAsia="Times New Roman" w:cs="Times New Roman"/>
        </w:rPr>
        <w:pict>
          <v:rect id="_x0000_i1269" style="width:441.9pt;height:3pt" o:hralign="center" o:hrstd="t" o:hrnoshade="t" o:hr="t" fillcolor="#999" stroked="f"/>
        </w:pict>
      </w:r>
    </w:p>
    <w:p w:rsidR="00000000" w:rsidRDefault="003E5AFF">
      <w:pPr>
        <w:pStyle w:val="Heading5"/>
        <w:rPr>
          <w:rFonts w:eastAsia="Times New Roman" w:cs="Times New Roman"/>
        </w:rPr>
      </w:pPr>
      <w:hyperlink r:id="rId28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Pietro Illuminati</w:t>
      </w:r>
      <w:r>
        <w:rPr>
          <w:rFonts w:ascii="Arial" w:hAnsi="Arial" w:cs="Arial"/>
        </w:rPr>
        <w:t>.    Mr. </w:t>
      </w:r>
      <w:r>
        <w:rPr>
          <w:rFonts w:ascii="Arial" w:hAnsi="Arial" w:cs="Arial"/>
        </w:rPr>
        <w:t>Illuminati has been our Director of Procurement since 2010. He graduated with a doctorate degree in Aeronautical Engineering from the Universidad de Roma and earned a Master of Science in Aeronautics &amp; Astronautics from the University of Washington. Before</w:t>
      </w:r>
      <w:r>
        <w:rPr>
          <w:rFonts w:ascii="Arial" w:hAnsi="Arial" w:cs="Arial"/>
        </w:rPr>
        <w:t xml:space="preserve"> joining Cencosud, he worked as Procurement Director of Agusta Aerospace Corp., Philadelphia, Pennsylvania from 2008 to 2010. He previously worked in Fiat Aviation and General Electric Aircraft Engines in Engineering, Procurement and Supply Chain for 18 ye</w:t>
      </w:r>
      <w:r>
        <w:rPr>
          <w:rFonts w:ascii="Arial" w:hAnsi="Arial" w:cs="Arial"/>
        </w:rPr>
        <w:t xml:space="preserve">ars in different locations in the United States. </w:t>
      </w:r>
    </w:p>
    <w:p w:rsidR="00000000" w:rsidRDefault="003E5AFF">
      <w:pPr>
        <w:pStyle w:val="NormalWeb"/>
        <w:spacing w:before="120" w:beforeAutospacing="0" w:after="0" w:afterAutospacing="0"/>
      </w:pPr>
      <w:r>
        <w:rPr>
          <w:rFonts w:ascii="Arial" w:hAnsi="Arial" w:cs="Arial"/>
          <w:i/>
          <w:iCs/>
        </w:rPr>
        <w:t>Renato Fernandez</w:t>
      </w:r>
      <w:r>
        <w:rPr>
          <w:rFonts w:ascii="Arial" w:hAnsi="Arial" w:cs="Arial"/>
        </w:rPr>
        <w:t xml:space="preserve">.    Mr. Fernandez has been our Corporate Affairs Manager since 2011. From 2003 to 2011, Mr. Fernandez was the External Affairs Director of Endesa Chile and Smartcom PCS. From December 1997 </w:t>
      </w:r>
      <w:r>
        <w:rPr>
          <w:rFonts w:ascii="Arial" w:hAnsi="Arial" w:cs="Arial"/>
        </w:rPr>
        <w:t xml:space="preserve">to December 2000, Mr. Fern_ndez was the External Affairs Director of Hill &amp; Knowlton Captiva. He holds a degree in Journalism from the Universidad Gabriela Mistral. </w:t>
      </w:r>
    </w:p>
    <w:p w:rsidR="00000000" w:rsidRDefault="003E5AFF">
      <w:pPr>
        <w:pStyle w:val="NormalWeb"/>
        <w:spacing w:before="240" w:beforeAutospacing="0" w:after="0" w:afterAutospacing="0"/>
      </w:pPr>
      <w:r>
        <w:rPr>
          <w:rFonts w:ascii="Arial" w:hAnsi="Arial" w:cs="Arial"/>
          <w:b/>
          <w:bCs/>
          <w:sz w:val="24"/>
          <w:szCs w:val="24"/>
        </w:rPr>
        <w:t xml:space="preserve">Directors, senior management and committees </w:t>
      </w:r>
    </w:p>
    <w:p w:rsidR="00000000" w:rsidRDefault="003E5AFF">
      <w:pPr>
        <w:pStyle w:val="NormalWeb"/>
        <w:spacing w:before="120" w:beforeAutospacing="0" w:after="0" w:afterAutospacing="0"/>
      </w:pPr>
      <w:r>
        <w:rPr>
          <w:rFonts w:ascii="Arial" w:hAnsi="Arial" w:cs="Arial"/>
          <w:b/>
          <w:bCs/>
          <w:i/>
          <w:iCs/>
        </w:rPr>
        <w:t xml:space="preserve">Board practices </w:t>
      </w:r>
    </w:p>
    <w:p w:rsidR="00000000" w:rsidRDefault="003E5AFF">
      <w:pPr>
        <w:pStyle w:val="NormalWeb"/>
        <w:spacing w:before="120" w:beforeAutospacing="0" w:after="0" w:afterAutospacing="0"/>
      </w:pPr>
      <w:r>
        <w:rPr>
          <w:rFonts w:ascii="Arial" w:hAnsi="Arial" w:cs="Arial"/>
        </w:rPr>
        <w:t>Our Bylaws provide that shar</w:t>
      </w:r>
      <w:r>
        <w:rPr>
          <w:rFonts w:ascii="Arial" w:hAnsi="Arial" w:cs="Arial"/>
        </w:rPr>
        <w:t xml:space="preserve">eholders elect nine regular directors. Directors are elected at the annual shareholders_ meeting for terms of three years. The legal responsibilities of each board member are established in accordance with the Chilean Corporations Law. </w:t>
      </w:r>
    </w:p>
    <w:p w:rsidR="00000000" w:rsidRDefault="003E5AFF">
      <w:pPr>
        <w:pStyle w:val="NormalWeb"/>
        <w:spacing w:before="240" w:beforeAutospacing="0" w:after="0" w:afterAutospacing="0"/>
      </w:pPr>
      <w:r>
        <w:rPr>
          <w:rFonts w:ascii="Arial" w:hAnsi="Arial" w:cs="Arial"/>
          <w:b/>
          <w:bCs/>
          <w:i/>
          <w:iCs/>
        </w:rPr>
        <w:t>Directors_ committe</w:t>
      </w:r>
      <w:r>
        <w:rPr>
          <w:rFonts w:ascii="Arial" w:hAnsi="Arial" w:cs="Arial"/>
          <w:b/>
          <w:bCs/>
          <w:i/>
          <w:iCs/>
        </w:rPr>
        <w:t xml:space="preserve">e </w:t>
      </w:r>
    </w:p>
    <w:p w:rsidR="00000000" w:rsidRDefault="003E5AFF">
      <w:pPr>
        <w:pStyle w:val="NormalWeb"/>
        <w:spacing w:before="120" w:beforeAutospacing="0" w:after="0" w:afterAutospacing="0"/>
      </w:pPr>
      <w:r>
        <w:rPr>
          <w:rFonts w:ascii="Arial" w:hAnsi="Arial" w:cs="Arial"/>
        </w:rPr>
        <w:t>As required under Chilean law, we have established a Directors_ Committee composed of three directors. The following are the current members of our Directors_ Committee: David Gallager Patrickson (President), Roberto Philipps (Secretary) and Cristian Ey</w:t>
      </w:r>
      <w:r>
        <w:rPr>
          <w:rFonts w:ascii="Arial" w:hAnsi="Arial" w:cs="Arial"/>
        </w:rPr>
        <w:t xml:space="preserve">zaguirre . The Directors_ Committee has the following principal duties: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reviewing external audit reports and financial statements and providing its opinion regarding such items prior to their submission to the shareholders for approval;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proposing to the board of directors the names of independent auditors and credit rating agencies that will be submitted for approval at the annual shareholders_ meeting;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reviewing related party transactions for potential conflict of interest and providing reports as required in certain defined cases;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reviewing the salary and compensation benefits for officers and senior management;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performing any other responsibility entrusted to the Directors_ Committee by our Bylaws, the shareholders_ meeting or the board of directors. </w:t>
            </w:r>
          </w:p>
        </w:tc>
      </w:tr>
    </w:tbl>
    <w:p w:rsidR="00000000" w:rsidRDefault="003E5AFF">
      <w:pPr>
        <w:pStyle w:val="NormalWeb"/>
        <w:spacing w:before="240" w:beforeAutospacing="0" w:after="0" w:afterAutospacing="0"/>
      </w:pPr>
      <w:r>
        <w:rPr>
          <w:rFonts w:ascii="Arial" w:hAnsi="Arial" w:cs="Arial"/>
          <w:b/>
          <w:bCs/>
          <w:i/>
          <w:iCs/>
        </w:rPr>
        <w:t xml:space="preserve">Audit committee </w:t>
      </w:r>
    </w:p>
    <w:p w:rsidR="00000000" w:rsidRDefault="003E5AFF">
      <w:pPr>
        <w:pStyle w:val="NormalWeb"/>
        <w:spacing w:before="120" w:beforeAutospacing="0" w:after="0" w:afterAutospacing="0"/>
      </w:pPr>
      <w:r>
        <w:rPr>
          <w:rFonts w:ascii="Arial" w:hAnsi="Arial" w:cs="Arial"/>
        </w:rPr>
        <w:t>We have established an audit committee, comprised of three non-management members of our Board o</w:t>
      </w:r>
      <w:r>
        <w:rPr>
          <w:rFonts w:ascii="Arial" w:hAnsi="Arial" w:cs="Arial"/>
        </w:rPr>
        <w:t>f Directors. The members of the audit committee will be David Gallagher, Roberto Oscar Philipps and Cristi_n Eyzaguirre Johnston, each of whom is independent within the meaning of the SEC corporate governance rules. Our board of directors has determined th</w:t>
      </w:r>
      <w:r>
        <w:rPr>
          <w:rFonts w:ascii="Arial" w:hAnsi="Arial" w:cs="Arial"/>
        </w:rPr>
        <w:t xml:space="preserve">at Roberto Oscar Philipps is _audit committee financial expert_ as defined by the SEC.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- 233 - </w:t>
      </w:r>
    </w:p>
    <w:p w:rsidR="00000000" w:rsidRDefault="003E5AFF">
      <w:pPr>
        <w:rPr>
          <w:rFonts w:eastAsia="Times New Roman" w:cs="Times New Roman"/>
        </w:rPr>
      </w:pPr>
      <w:r>
        <w:rPr>
          <w:rFonts w:eastAsia="Times New Roman" w:cs="Times New Roman"/>
        </w:rPr>
        <w:pict>
          <v:rect id="_x0000_i1270" style="width:441.9pt;height:3pt" o:hralign="center" o:hrstd="t" o:hrnoshade="t" o:hr="t" fillcolor="#999" stroked="f"/>
        </w:pict>
      </w:r>
    </w:p>
    <w:p w:rsidR="00000000" w:rsidRDefault="003E5AFF">
      <w:pPr>
        <w:pStyle w:val="Heading5"/>
        <w:rPr>
          <w:rFonts w:eastAsia="Times New Roman" w:cs="Times New Roman"/>
        </w:rPr>
      </w:pPr>
      <w:hyperlink r:id="rId28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ind w:left="238" w:hanging="245"/>
      </w:pPr>
      <w:r>
        <w:rPr>
          <w:rFonts w:ascii="Arial" w:hAnsi="Arial" w:cs="Arial"/>
        </w:rPr>
        <w:t xml:space="preserve">The audit committee_s primary responsibilities shall be: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Assist the Board of Directors in fulfilling its oversight responsibilities relating to the integrity of the Company_s financial statements, including periodically reporting to the Board of Directors on its activity and the adequacy of the Company_s systems</w:t>
            </w:r>
            <w:r>
              <w:rPr>
                <w:rFonts w:ascii="Arial" w:hAnsi="Arial" w:cs="Arial"/>
              </w:rPr>
              <w:t xml:space="preserve"> of internal controls over financial reporting;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Make recommendations for the appointment, compensation, retention and oversight of, and consider the independence of, the Company_s external auditors;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Review material transactions between the Company or its subsidiaries with related parties to determine whether their terms are consistent with market conditions or are otherwise fair to the Company and its subsidiaries;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Perform such other duties imposed on it by the laws and regulations of the regulated market(s) on which the shares of the Company are listed, applicable to the Company, as well as any other duties entrusted to it by the Board of Directors. </w:t>
            </w:r>
          </w:p>
        </w:tc>
      </w:tr>
    </w:tbl>
    <w:p w:rsidR="00000000" w:rsidRDefault="003E5AFF">
      <w:pPr>
        <w:pStyle w:val="NormalWeb"/>
        <w:spacing w:before="120" w:beforeAutospacing="0" w:after="0" w:afterAutospacing="0"/>
      </w:pPr>
      <w:r>
        <w:rPr>
          <w:rFonts w:ascii="Arial" w:hAnsi="Arial" w:cs="Arial"/>
        </w:rPr>
        <w:t>The audit commi</w:t>
      </w:r>
      <w:r>
        <w:rPr>
          <w:rFonts w:ascii="Arial" w:hAnsi="Arial" w:cs="Arial"/>
        </w:rPr>
        <w:t xml:space="preserve">ttee_s purpose and responsibilities, including those outlined above, will be set forth in the charter of the audit committee. </w:t>
      </w:r>
    </w:p>
    <w:p w:rsidR="00000000" w:rsidRDefault="003E5AFF">
      <w:pPr>
        <w:pStyle w:val="NormalWeb"/>
        <w:spacing w:before="240" w:beforeAutospacing="0" w:after="0" w:afterAutospacing="0"/>
      </w:pPr>
      <w:r>
        <w:rPr>
          <w:rFonts w:ascii="Arial" w:hAnsi="Arial" w:cs="Arial"/>
          <w:b/>
          <w:bCs/>
          <w:sz w:val="24"/>
          <w:szCs w:val="24"/>
        </w:rPr>
        <w:t xml:space="preserve">Compensation </w:t>
      </w:r>
    </w:p>
    <w:p w:rsidR="00000000" w:rsidRDefault="003E5AFF">
      <w:pPr>
        <w:pStyle w:val="NormalWeb"/>
        <w:spacing w:before="120" w:beforeAutospacing="0" w:after="0" w:afterAutospacing="0"/>
      </w:pPr>
      <w:r>
        <w:rPr>
          <w:rFonts w:ascii="Arial" w:hAnsi="Arial" w:cs="Arial"/>
        </w:rPr>
        <w:t>In accordance with Article 33 of the Chilean Corporations Law, the compensation of our directors is approved once a</w:t>
      </w:r>
      <w:r>
        <w:rPr>
          <w:rFonts w:ascii="Arial" w:hAnsi="Arial" w:cs="Arial"/>
        </w:rPr>
        <w:t xml:space="preserve"> year at our annual shareholders meeting. See Note 9.5 to our Audited Consolidated Financial Statements included elsewhere in this prospectus. </w:t>
      </w:r>
    </w:p>
    <w:p w:rsidR="00000000" w:rsidRDefault="003E5AFF">
      <w:pPr>
        <w:pStyle w:val="NormalWeb"/>
        <w:spacing w:before="120" w:beforeAutospacing="0" w:after="0" w:afterAutospacing="0"/>
      </w:pPr>
      <w:r>
        <w:rPr>
          <w:rFonts w:ascii="Arial" w:hAnsi="Arial" w:cs="Arial"/>
        </w:rPr>
        <w:t>Total compensation to members of our Board of Directors during 2011 was Ch$ 452 million. For 2011, the aggregate</w:t>
      </w:r>
      <w:r>
        <w:rPr>
          <w:rFonts w:ascii="Arial" w:hAnsi="Arial" w:cs="Arial"/>
        </w:rPr>
        <w:t xml:space="preserve"> amount of compensation we paid to executive officers was Ch$4,533 million. We do not disclose to our shareholders or otherwise make public information as to the compensation of any individual executive officers. </w:t>
      </w:r>
    </w:p>
    <w:p w:rsidR="00000000" w:rsidRDefault="003E5AFF">
      <w:pPr>
        <w:pStyle w:val="NormalWeb"/>
        <w:spacing w:before="120" w:beforeAutospacing="0" w:after="0" w:afterAutospacing="0"/>
      </w:pPr>
      <w:r>
        <w:rPr>
          <w:rFonts w:ascii="Arial" w:hAnsi="Arial" w:cs="Arial"/>
        </w:rPr>
        <w:t xml:space="preserve">None of our non-executive directors has a </w:t>
      </w:r>
      <w:r>
        <w:rPr>
          <w:rFonts w:ascii="Arial" w:hAnsi="Arial" w:cs="Arial"/>
        </w:rPr>
        <w:t xml:space="preserve">service contract with us that provides for benefits upon termination of employment. </w:t>
      </w:r>
    </w:p>
    <w:p w:rsidR="00000000" w:rsidRDefault="003E5AFF">
      <w:pPr>
        <w:pStyle w:val="NormalWeb"/>
        <w:spacing w:before="120" w:beforeAutospacing="0" w:after="0" w:afterAutospacing="0"/>
      </w:pPr>
      <w:r>
        <w:rPr>
          <w:rFonts w:ascii="Arial" w:hAnsi="Arial" w:cs="Arial"/>
        </w:rPr>
        <w:t xml:space="preserve">The following table presents information relating to directors_ fees paid to all our directors during the periods shown: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3383"/>
        <w:gridCol w:w="225"/>
        <w:gridCol w:w="131"/>
        <w:gridCol w:w="1437"/>
        <w:gridCol w:w="112"/>
        <w:gridCol w:w="226"/>
        <w:gridCol w:w="56"/>
        <w:gridCol w:w="612"/>
        <w:gridCol w:w="112"/>
        <w:gridCol w:w="226"/>
        <w:gridCol w:w="56"/>
        <w:gridCol w:w="612"/>
        <w:gridCol w:w="112"/>
        <w:gridCol w:w="226"/>
        <w:gridCol w:w="56"/>
        <w:gridCol w:w="612"/>
        <w:gridCol w:w="112"/>
      </w:tblGrid>
      <w:tr w:rsidR="00000000">
        <w:trPr>
          <w:jc w:val="center"/>
        </w:trPr>
        <w:tc>
          <w:tcPr>
            <w:tcW w:w="3000" w:type="pct"/>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20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Three months</w:t>
            </w:r>
            <w:r>
              <w:rPr>
                <w:rFonts w:ascii="Arial" w:eastAsia="Times New Roman" w:hAnsi="Arial" w:cs="Arial"/>
                <w:b/>
                <w:bCs/>
              </w:rPr>
              <w:br/>
              <w:t>ended March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0"/>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Year ended December 31,</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2012</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2010</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2009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14"/>
            <w:vAlign w:val="bottom"/>
            <w:hideMark/>
          </w:tcPr>
          <w:p w:rsidR="00000000" w:rsidRDefault="003E5AFF">
            <w:pPr>
              <w:jc w:val="center"/>
              <w:rPr>
                <w:rFonts w:eastAsia="Times New Roman" w:cs="Times New Roman"/>
              </w:rPr>
            </w:pPr>
            <w:r>
              <w:rPr>
                <w:rFonts w:ascii="Arial" w:eastAsia="Times New Roman" w:hAnsi="Arial" w:cs="Arial"/>
                <w:b/>
                <w:bCs/>
              </w:rPr>
              <w:t>(in thousands of Ch$)</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Horst Paulmann Kemna</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22,510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87,730</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85,994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Manfred Paulmann Koepfer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77,777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73,631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Heike Paulmann Koepfer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14,961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58,193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50,654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45,649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Peter Paulmann Koepfer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11,255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43,854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42,426</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45,649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Bruno Philippi Irarr_zabal</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21,774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35,354</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38,579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Erasmo Wong Lu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11,255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44,673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84,013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Roberto Oscar Philipps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50,739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44,299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47,552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Cristi_n Eyzaguirre Johnston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14,959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57,483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53,813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44,593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Sven von Appen Behrmann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11,255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43,936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31,879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42,086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hideMark/>
          </w:tcPr>
          <w:p w:rsidR="00000000" w:rsidRDefault="003E5AFF">
            <w:pPr>
              <w:pStyle w:val="NormalWeb"/>
              <w:ind w:left="240" w:hanging="240"/>
            </w:pPr>
            <w:r>
              <w:rPr>
                <w:rFonts w:ascii="Arial" w:hAnsi="Arial" w:cs="Arial"/>
              </w:rPr>
              <w:t>Julio Moura Neto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26,910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David Gallagher Patrickson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14,961</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43,973</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r>
      <w:tr w:rsidR="00000000">
        <w:trPr>
          <w:jc w:val="center"/>
        </w:trPr>
        <w:tc>
          <w:tcPr>
            <w:tcW w:w="0" w:type="auto"/>
            <w:gridSpan w:val="16"/>
            <w:hideMark/>
          </w:tcPr>
          <w:p w:rsidR="00000000" w:rsidRDefault="003E5AFF">
            <w:pPr>
              <w:pStyle w:val="NormalWeb"/>
              <w:pBdr>
                <w:bottom w:val="single" w:sz="6" w:space="0" w:color="000000"/>
              </w:pBdr>
              <w:rPr>
                <w:sz w:val="2"/>
                <w:szCs w:val="2"/>
              </w:rPr>
            </w:pPr>
            <w:r>
              <w:rPr>
                <w:sz w:val="2"/>
                <w:szCs w:val="2"/>
              </w:rPr>
              <w:t> </w:t>
            </w:r>
          </w:p>
        </w:tc>
        <w:tc>
          <w:tcPr>
            <w:tcW w:w="0" w:type="auto"/>
            <w:vAlign w:val="center"/>
            <w:hideMark/>
          </w:tcPr>
          <w:p w:rsidR="00000000" w:rsidRDefault="003E5AFF">
            <w:pPr>
              <w:rPr>
                <w:rFonts w:eastAsia="Times New Roman" w:cs="Times New Roman"/>
                <w:sz w:val="2"/>
                <w:szCs w:val="2"/>
              </w:rPr>
            </w:pPr>
            <w:r>
              <w:rPr>
                <w:rFonts w:eastAsia="Times New Roman" w:cs="Times New Roman"/>
                <w:sz w:val="2"/>
                <w:szCs w:val="2"/>
              </w:rPr>
              <w: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- 234 - </w:t>
      </w:r>
    </w:p>
    <w:p w:rsidR="00000000" w:rsidRDefault="003E5AFF">
      <w:pPr>
        <w:rPr>
          <w:rFonts w:eastAsia="Times New Roman" w:cs="Times New Roman"/>
        </w:rPr>
      </w:pPr>
      <w:r>
        <w:rPr>
          <w:rFonts w:eastAsia="Times New Roman" w:cs="Times New Roman"/>
        </w:rPr>
        <w:pict>
          <v:rect id="_x0000_i1271" style="width:441.9pt;height:3pt" o:hralign="center" o:hrstd="t" o:hrnoshade="t" o:hr="t" fillcolor="#999" stroked="f"/>
        </w:pict>
      </w:r>
    </w:p>
    <w:p w:rsidR="00000000" w:rsidRDefault="003E5AFF">
      <w:pPr>
        <w:pStyle w:val="Heading5"/>
        <w:rPr>
          <w:rFonts w:eastAsia="Times New Roman" w:cs="Times New Roman"/>
        </w:rPr>
      </w:pPr>
      <w:hyperlink r:id="rId28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Executive stock option plans </w:t>
      </w:r>
    </w:p>
    <w:p w:rsidR="00000000" w:rsidRDefault="003E5AFF">
      <w:pPr>
        <w:pStyle w:val="NormalWeb"/>
        <w:spacing w:before="120" w:beforeAutospacing="0" w:after="0" w:afterAutospacing="0"/>
      </w:pPr>
      <w:r>
        <w:rPr>
          <w:rFonts w:ascii="Arial" w:hAnsi="Arial" w:cs="Arial"/>
        </w:rPr>
        <w:t>In September 2010, we implemented two executive stock option plans, the 2013 Plan and the Incentive P</w:t>
      </w:r>
      <w:r>
        <w:rPr>
          <w:rFonts w:ascii="Arial" w:hAnsi="Arial" w:cs="Arial"/>
        </w:rPr>
        <w:t xml:space="preserve">lan, pursuant to which approximately 290 executives will be entitled to acquire up to 22 million unsubscribed shares of our common stock, 8 million under the 2013 Plan and 14 million under the Incentive Plan. </w:t>
      </w:r>
    </w:p>
    <w:p w:rsidR="00000000" w:rsidRDefault="003E5AFF">
      <w:pPr>
        <w:pStyle w:val="NormalWeb"/>
        <w:spacing w:before="120" w:beforeAutospacing="0" w:after="0" w:afterAutospacing="0"/>
      </w:pPr>
      <w:r>
        <w:rPr>
          <w:rFonts w:ascii="Arial" w:hAnsi="Arial" w:cs="Arial"/>
        </w:rPr>
        <w:t>Our 2013 Plan is aimed at rewarding loyalty an</w:t>
      </w:r>
      <w:r>
        <w:rPr>
          <w:rFonts w:ascii="Arial" w:hAnsi="Arial" w:cs="Arial"/>
        </w:rPr>
        <w:t>d retaining our executives. Therefore executives who wish to exercise their options under the 2013 Plan must have a current employment contract with us and their employment relationship with us must have been uninterrupted from the date the options were gr</w:t>
      </w:r>
      <w:r>
        <w:rPr>
          <w:rFonts w:ascii="Arial" w:hAnsi="Arial" w:cs="Arial"/>
        </w:rPr>
        <w:t xml:space="preserve">anted. Further, executives who are found to have committed a serious breach of their duties cannot exercise their options under the 2013 Plan. </w:t>
      </w:r>
    </w:p>
    <w:p w:rsidR="00000000" w:rsidRDefault="003E5AFF">
      <w:pPr>
        <w:pStyle w:val="NormalWeb"/>
        <w:spacing w:before="120" w:beforeAutospacing="0" w:after="0" w:afterAutospacing="0"/>
      </w:pPr>
      <w:r>
        <w:rPr>
          <w:rFonts w:ascii="Arial" w:hAnsi="Arial" w:cs="Arial"/>
        </w:rPr>
        <w:t>The objective of our Incentive Plan is to motivate executive performance, thereby increasing the long-term value</w:t>
      </w:r>
      <w:r>
        <w:rPr>
          <w:rFonts w:ascii="Arial" w:hAnsi="Arial" w:cs="Arial"/>
        </w:rPr>
        <w:t xml:space="preserve"> of the Company, as measured by the Company_s EBITDA. Executives can only exercise their options under the Incentive Plan if the Company_s EBITDA (as defined in the Incentive Plan) has increased 100% at December 31, 2012, using the company_s EBITDA at Dece</w:t>
      </w:r>
      <w:r>
        <w:rPr>
          <w:rFonts w:ascii="Arial" w:hAnsi="Arial" w:cs="Arial"/>
        </w:rPr>
        <w:t xml:space="preserve">mber 31, 2009 as the basis for measurement. This requirement is in addition to the conditions applicable in the 2013 Plan, which are described above. </w:t>
      </w:r>
    </w:p>
    <w:p w:rsidR="00000000" w:rsidRDefault="003E5AFF">
      <w:pPr>
        <w:pStyle w:val="NormalWeb"/>
        <w:spacing w:before="120" w:beforeAutospacing="0" w:after="0" w:afterAutospacing="0"/>
      </w:pPr>
      <w:r>
        <w:rPr>
          <w:rFonts w:ascii="Arial" w:hAnsi="Arial" w:cs="Arial"/>
        </w:rPr>
        <w:t>The subscription of shares under either plan can only be made within 30 days after the filing of our audi</w:t>
      </w:r>
      <w:r>
        <w:rPr>
          <w:rFonts w:ascii="Arial" w:hAnsi="Arial" w:cs="Arial"/>
        </w:rPr>
        <w:t xml:space="preserve">ted financial statements for the year 2012. The options, which may be exercised in 2013, will allow executives to acquire shares at a preferential value of Ch$1,750 per share. </w:t>
      </w:r>
    </w:p>
    <w:p w:rsidR="00000000" w:rsidRDefault="003E5AFF">
      <w:pPr>
        <w:pStyle w:val="NormalWeb"/>
        <w:spacing w:before="120" w:beforeAutospacing="0" w:after="0" w:afterAutospacing="0"/>
      </w:pPr>
      <w:r>
        <w:rPr>
          <w:rFonts w:ascii="Arial" w:hAnsi="Arial" w:cs="Arial"/>
        </w:rPr>
        <w:t>The following table sets forth, as of the date of this prospectus, the total nu</w:t>
      </w:r>
      <w:r>
        <w:rPr>
          <w:rFonts w:ascii="Arial" w:hAnsi="Arial" w:cs="Arial"/>
        </w:rPr>
        <w:t xml:space="preserve">mber of shares of common stock to be issued upon exercise of the options granted to each of our executive officers and directors under our 2013 Plan and our Incentive Plan, the exercise price of such options, the date of grant and the date of expiration: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1880"/>
        <w:gridCol w:w="195"/>
        <w:gridCol w:w="57"/>
        <w:gridCol w:w="1001"/>
        <w:gridCol w:w="112"/>
        <w:gridCol w:w="194"/>
        <w:gridCol w:w="367"/>
        <w:gridCol w:w="501"/>
        <w:gridCol w:w="112"/>
        <w:gridCol w:w="194"/>
        <w:gridCol w:w="56"/>
        <w:gridCol w:w="934"/>
        <w:gridCol w:w="112"/>
        <w:gridCol w:w="194"/>
        <w:gridCol w:w="2397"/>
      </w:tblGrid>
      <w:tr w:rsidR="00000000">
        <w:trPr>
          <w:jc w:val="center"/>
        </w:trPr>
        <w:tc>
          <w:tcPr>
            <w:tcW w:w="1450" w:type="pct"/>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150" w:type="pct"/>
            <w:vAlign w:val="bottom"/>
            <w:hideMark/>
          </w:tcPr>
          <w:p w:rsidR="00000000" w:rsidRDefault="003E5AFF">
            <w:pPr>
              <w:rPr>
                <w:rFonts w:eastAsia="Times New Roman" w:cs="Times New Roman"/>
              </w:rPr>
            </w:pPr>
          </w:p>
        </w:tc>
        <w:tc>
          <w:tcPr>
            <w:tcW w:w="1850" w:type="pct"/>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Plan under which options</w:t>
            </w:r>
            <w:r>
              <w:rPr>
                <w:rFonts w:ascii="Arial" w:eastAsia="Times New Roman" w:hAnsi="Arial" w:cs="Arial"/>
                <w:b/>
                <w:bCs/>
              </w:rPr>
              <w:br/>
              <w:t>were awarded</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Number of</w:t>
            </w:r>
            <w:r>
              <w:rPr>
                <w:rFonts w:ascii="Arial" w:eastAsia="Times New Roman" w:hAnsi="Arial" w:cs="Arial"/>
                <w:b/>
                <w:bCs/>
              </w:rPr>
              <w:br/>
              <w:t>options</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Exercise</w:t>
            </w:r>
            <w:r>
              <w:rPr>
                <w:rFonts w:ascii="Arial" w:eastAsia="Times New Roman" w:hAnsi="Arial" w:cs="Arial"/>
                <w:b/>
                <w:bCs/>
              </w:rPr>
              <w:br/>
              <w:t>price</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tcBorders>
              <w:top w:val="single" w:sz="12"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Date of</w:t>
            </w:r>
            <w:r>
              <w:rPr>
                <w:rFonts w:ascii="Arial" w:eastAsia="Times New Roman" w:hAnsi="Arial" w:cs="Arial"/>
                <w:b/>
                <w:bCs/>
              </w:rPr>
              <w:br/>
              <w:t>grant</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ascii="Arial" w:eastAsia="Times New Roman" w:hAnsi="Arial" w:cs="Arial"/>
                <w:b/>
                <w:bCs/>
              </w:rPr>
              <w:t>Expiration date</w:t>
            </w:r>
          </w:p>
        </w:tc>
      </w:tr>
      <w:tr w:rsidR="00000000">
        <w:trPr>
          <w:jc w:val="center"/>
        </w:trPr>
        <w:tc>
          <w:tcPr>
            <w:tcW w:w="0" w:type="auto"/>
            <w:gridSpan w:val="15"/>
            <w:hideMark/>
          </w:tcPr>
          <w:p w:rsidR="00000000" w:rsidRDefault="003E5AFF">
            <w:pPr>
              <w:pStyle w:val="NormalWeb"/>
              <w:pBdr>
                <w:bottom w:val="single" w:sz="6" w:space="0" w:color="000000"/>
              </w:pBdr>
              <w:rPr>
                <w:sz w:val="2"/>
                <w:szCs w:val="2"/>
              </w:rPr>
            </w:pPr>
            <w:r>
              <w:rPr>
                <w:sz w:val="2"/>
                <w:szCs w:val="2"/>
              </w:rPr>
              <w:t> </w:t>
            </w:r>
          </w:p>
        </w:tc>
      </w:tr>
      <w:tr w:rsidR="00000000">
        <w:trPr>
          <w:jc w:val="center"/>
        </w:trPr>
        <w:tc>
          <w:tcPr>
            <w:tcW w:w="0" w:type="auto"/>
            <w:hideMark/>
          </w:tcPr>
          <w:p w:rsidR="00000000" w:rsidRDefault="003E5AFF">
            <w:pPr>
              <w:pStyle w:val="NormalWeb"/>
              <w:ind w:left="240" w:hanging="240"/>
            </w:pPr>
            <w:r>
              <w:rPr>
                <w:rFonts w:ascii="Arial" w:hAnsi="Arial" w:cs="Arial"/>
              </w:rPr>
              <w:t>2013 Plan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8,392,143</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Ch$</w:t>
            </w:r>
          </w:p>
        </w:tc>
        <w:tc>
          <w:tcPr>
            <w:tcW w:w="0" w:type="auto"/>
            <w:hideMark/>
          </w:tcPr>
          <w:p w:rsidR="00000000" w:rsidRDefault="003E5AFF">
            <w:pPr>
              <w:jc w:val="right"/>
              <w:rPr>
                <w:rFonts w:eastAsia="Times New Roman" w:cs="Times New Roman"/>
              </w:rPr>
            </w:pPr>
            <w:r>
              <w:rPr>
                <w:rFonts w:ascii="Arial" w:eastAsia="Times New Roman" w:hAnsi="Arial" w:cs="Arial"/>
              </w:rPr>
              <w:t>1,750</w:t>
            </w:r>
          </w:p>
        </w:tc>
        <w:tc>
          <w:tcPr>
            <w:tcW w:w="0" w:type="auto"/>
            <w:noWrap/>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rPr>
              <w:t> </w:t>
            </w:r>
          </w:p>
          <w:p w:rsidR="00000000" w:rsidRDefault="003E5AFF">
            <w:pPr>
              <w:pStyle w:val="NormalWeb"/>
              <w:spacing w:before="0" w:beforeAutospacing="0" w:after="15" w:afterAutospacing="0"/>
            </w:pPr>
            <w:r>
              <w:rPr>
                <w:rFonts w:ascii="Arial" w:hAnsi="Arial" w:cs="Arial"/>
              </w:rPr>
              <w:t> </w:t>
            </w:r>
          </w:p>
        </w:tc>
        <w:tc>
          <w:tcPr>
            <w:tcW w:w="0" w:type="auto"/>
            <w:hideMark/>
          </w:tcPr>
          <w:p w:rsidR="00000000" w:rsidRDefault="003E5AFF">
            <w:pPr>
              <w:jc w:val="right"/>
              <w:rPr>
                <w:rFonts w:eastAsia="Times New Roman" w:cs="Times New Roman"/>
              </w:rPr>
            </w:pPr>
            <w:r>
              <w:rPr>
                <w:rFonts w:ascii="Arial" w:eastAsia="Times New Roman" w:hAnsi="Arial" w:cs="Arial"/>
              </w:rPr>
              <w:t>January 1,</w:t>
            </w:r>
          </w:p>
          <w:p w:rsidR="00000000" w:rsidRDefault="003E5AFF">
            <w:pPr>
              <w:pStyle w:val="NormalWeb"/>
              <w:spacing w:before="0" w:beforeAutospacing="0" w:after="15" w:afterAutospacing="0"/>
              <w:jc w:val="right"/>
            </w:pPr>
            <w:r>
              <w:rPr>
                <w:rFonts w:ascii="Arial" w:hAnsi="Arial" w:cs="Arial"/>
              </w:rPr>
              <w:t>2010</w:t>
            </w:r>
          </w:p>
        </w:tc>
        <w:tc>
          <w:tcPr>
            <w:tcW w:w="0" w:type="auto"/>
            <w:noWrap/>
            <w:hideMark/>
          </w:tcPr>
          <w:p w:rsidR="00000000" w:rsidRDefault="003E5AFF">
            <w:pPr>
              <w:rPr>
                <w:rFonts w:eastAsia="Times New Roman" w:cs="Times New Roman"/>
              </w:rPr>
            </w:pPr>
            <w:r>
              <w:rPr>
                <w:rFonts w:ascii="Arial" w:eastAsia="Times New Roman" w:hAnsi="Arial" w:cs="Arial"/>
              </w:rPr>
              <w:t> </w:t>
            </w:r>
          </w:p>
          <w:p w:rsidR="00000000" w:rsidRDefault="003E5AFF">
            <w:pPr>
              <w:pStyle w:val="NormalWeb"/>
              <w:spacing w:before="0" w:beforeAutospacing="0" w:after="15" w:afterAutospacing="0"/>
            </w:pPr>
            <w:r>
              <w:rPr>
                <w:rFonts w:ascii="Arial"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30 days after the publication of the Company_s audited financial statements for the 2012 fiscal year.</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rPr>
              <w:t>Incentive Plan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16,607,857</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Ch$</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1,750</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r>
              <w:rPr>
                <w:rFonts w:ascii="Arial" w:eastAsia="Times New Roman" w:hAnsi="Arial" w:cs="Arial"/>
              </w:rPr>
              <w:t> </w:t>
            </w:r>
          </w:p>
          <w:p w:rsidR="00000000" w:rsidRDefault="003E5AFF">
            <w:pPr>
              <w:pStyle w:val="NormalWeb"/>
              <w:spacing w:before="0" w:beforeAutospacing="0" w:after="15" w:afterAutospacing="0"/>
            </w:pPr>
            <w:r>
              <w:rPr>
                <w:rFonts w:ascii="Arial" w:hAnsi="Arial" w:cs="Arial"/>
              </w:rPr>
              <w:t> </w:t>
            </w:r>
          </w:p>
        </w:tc>
        <w:tc>
          <w:tcPr>
            <w:tcW w:w="0" w:type="auto"/>
            <w:shd w:val="clear" w:color="auto" w:fill="CCEEFF"/>
            <w:hideMark/>
          </w:tcPr>
          <w:p w:rsidR="00000000" w:rsidRDefault="003E5AFF">
            <w:pPr>
              <w:jc w:val="right"/>
              <w:rPr>
                <w:rFonts w:eastAsia="Times New Roman" w:cs="Times New Roman"/>
              </w:rPr>
            </w:pPr>
            <w:r>
              <w:rPr>
                <w:rFonts w:ascii="Arial" w:eastAsia="Times New Roman" w:hAnsi="Arial" w:cs="Arial"/>
              </w:rPr>
              <w:t>January 1,</w:t>
            </w:r>
          </w:p>
          <w:p w:rsidR="00000000" w:rsidRDefault="003E5AFF">
            <w:pPr>
              <w:pStyle w:val="NormalWeb"/>
              <w:spacing w:before="0" w:beforeAutospacing="0" w:after="15" w:afterAutospacing="0"/>
              <w:jc w:val="right"/>
            </w:pPr>
            <w:r>
              <w:rPr>
                <w:rFonts w:ascii="Arial" w:hAnsi="Arial" w:cs="Arial"/>
              </w:rPr>
              <w:t>2010</w:t>
            </w:r>
          </w:p>
        </w:tc>
        <w:tc>
          <w:tcPr>
            <w:tcW w:w="0" w:type="auto"/>
            <w:shd w:val="clear" w:color="auto" w:fill="CCEEFF"/>
            <w:noWrap/>
            <w:hideMark/>
          </w:tcPr>
          <w:p w:rsidR="00000000" w:rsidRDefault="003E5AFF">
            <w:pPr>
              <w:rPr>
                <w:rFonts w:eastAsia="Times New Roman" w:cs="Times New Roman"/>
              </w:rPr>
            </w:pPr>
            <w:r>
              <w:rPr>
                <w:rFonts w:ascii="Arial" w:eastAsia="Times New Roman" w:hAnsi="Arial" w:cs="Arial"/>
              </w:rPr>
              <w:t> </w:t>
            </w:r>
          </w:p>
          <w:p w:rsidR="00000000" w:rsidRDefault="003E5AFF">
            <w:pPr>
              <w:pStyle w:val="NormalWeb"/>
              <w:spacing w:before="0" w:beforeAutospacing="0" w:after="15" w:afterAutospacing="0"/>
            </w:pPr>
            <w:r>
              <w:rPr>
                <w:rFonts w:ascii="Arial"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30 days after the publication of the Company_s audited financial statements for the 2012 fiscal year.</w:t>
            </w:r>
          </w:p>
        </w:tc>
      </w:tr>
      <w:tr w:rsidR="00000000">
        <w:trPr>
          <w:jc w:val="center"/>
        </w:trPr>
        <w:tc>
          <w:tcPr>
            <w:tcW w:w="0" w:type="auto"/>
            <w:gridSpan w:val="15"/>
            <w:hideMark/>
          </w:tcPr>
          <w:p w:rsidR="00000000" w:rsidRDefault="003E5AFF">
            <w:pPr>
              <w:pStyle w:val="NormalWeb"/>
              <w:pBdr>
                <w:bottom w:val="single" w:sz="6" w:space="0" w:color="000000"/>
              </w:pBdr>
              <w:rPr>
                <w:sz w:val="2"/>
                <w:szCs w:val="2"/>
              </w:rPr>
            </w:pPr>
            <w:r>
              <w:rPr>
                <w:sz w:val="2"/>
                <w:szCs w:val="2"/>
              </w:rPr>
              <w:t> </w:t>
            </w:r>
          </w:p>
        </w:tc>
      </w:tr>
    </w:tbl>
    <w:p w:rsidR="00000000" w:rsidRDefault="003E5AFF">
      <w:pPr>
        <w:pStyle w:val="NormalWeb"/>
        <w:spacing w:before="240" w:beforeAutospacing="0" w:after="0" w:afterAutospacing="0"/>
      </w:pPr>
      <w:r>
        <w:rPr>
          <w:rFonts w:ascii="Arial" w:hAnsi="Arial" w:cs="Arial"/>
          <w:b/>
          <w:bCs/>
          <w:sz w:val="24"/>
          <w:szCs w:val="24"/>
        </w:rPr>
        <w:t xml:space="preserve">Share ownership </w:t>
      </w:r>
    </w:p>
    <w:p w:rsidR="00000000" w:rsidRDefault="003E5AFF">
      <w:pPr>
        <w:pStyle w:val="NormalWeb"/>
        <w:spacing w:before="120" w:beforeAutospacing="0" w:after="0" w:afterAutospacing="0"/>
      </w:pPr>
      <w:r>
        <w:rPr>
          <w:rFonts w:ascii="Arial" w:hAnsi="Arial" w:cs="Arial"/>
        </w:rPr>
        <w:t xml:space="preserve">As of the </w:t>
      </w:r>
      <w:r>
        <w:rPr>
          <w:rFonts w:ascii="Arial" w:hAnsi="Arial" w:cs="Arial"/>
        </w:rPr>
        <w:t xml:space="preserve">date of this prospectus, the members of our Board of Directors and our executive officers held, as a group, 54.0% of our shares of common stock on a fully diluted basis. See _Principal Shareholders._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- 235 - </w:t>
      </w:r>
    </w:p>
    <w:p w:rsidR="00000000" w:rsidRDefault="003E5AFF">
      <w:pPr>
        <w:rPr>
          <w:rFonts w:eastAsia="Times New Roman" w:cs="Times New Roman"/>
        </w:rPr>
      </w:pPr>
      <w:r>
        <w:rPr>
          <w:rFonts w:eastAsia="Times New Roman" w:cs="Times New Roman"/>
        </w:rPr>
        <w:pict>
          <v:rect id="_x0000_i1272" style="width:441.9pt;height:3pt" o:hralign="center" o:hrstd="t" o:hrnoshade="t" o:hr="t" fillcolor="#999" stroked="f"/>
        </w:pict>
      </w:r>
    </w:p>
    <w:p w:rsidR="00000000" w:rsidRDefault="003E5AFF">
      <w:pPr>
        <w:pStyle w:val="Heading5"/>
        <w:rPr>
          <w:rFonts w:eastAsia="Times New Roman" w:cs="Times New Roman"/>
        </w:rPr>
      </w:pPr>
      <w:hyperlink r:id="rId289"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jc w:val="center"/>
      </w:pPr>
      <w:bookmarkStart w:id="23" w:name="rom343004_22"/>
      <w:bookmarkEnd w:id="23"/>
      <w:r>
        <w:rPr>
          <w:rFonts w:ascii="Arial" w:hAnsi="Arial" w:cs="Arial"/>
          <w:b/>
          <w:bCs/>
          <w:sz w:val="36"/>
          <w:szCs w:val="36"/>
        </w:rPr>
        <w:t xml:space="preserve">Principal shareholders </w:t>
      </w:r>
    </w:p>
    <w:p w:rsidR="00000000" w:rsidRDefault="003E5AFF">
      <w:pPr>
        <w:pStyle w:val="NormalWeb"/>
        <w:spacing w:before="120" w:beforeAutospacing="0" w:after="0" w:afterAutospacing="0"/>
      </w:pPr>
      <w:r>
        <w:rPr>
          <w:rFonts w:ascii="Arial" w:hAnsi="Arial" w:cs="Arial"/>
        </w:rPr>
        <w:t xml:space="preserve">The following table sets forth information with respect to the beneficial ownership of our shares of common stock, as of the date of this offering, for: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each person known to us to own beneficially more than 5% of our shares of common stock ; and </w:t>
            </w:r>
          </w:p>
        </w:tc>
      </w:tr>
    </w:tbl>
    <w:p w:rsidR="00000000" w:rsidRDefault="003E5AFF">
      <w:pPr>
        <w:rPr>
          <w:rFonts w:eastAsia="Times New Roman" w:cs="Times New Roman"/>
          <w:vanish/>
        </w:rPr>
      </w:pP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our directors and executive officers as a group. </w:t>
            </w:r>
          </w:p>
        </w:tc>
      </w:tr>
    </w:tbl>
    <w:p w:rsidR="00000000" w:rsidRDefault="003E5AFF">
      <w:pPr>
        <w:pStyle w:val="NormalWeb"/>
        <w:spacing w:before="120" w:beforeAutospacing="0" w:after="0" w:afterAutospacing="0"/>
      </w:pPr>
      <w:r>
        <w:rPr>
          <w:rFonts w:ascii="Arial" w:hAnsi="Arial" w:cs="Arial"/>
        </w:rPr>
        <w:t xml:space="preserve">The table below does not reflect the exercise of the international underwriters_ option to purchase a maximum of              shares.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2230"/>
        <w:gridCol w:w="306"/>
        <w:gridCol w:w="56"/>
        <w:gridCol w:w="1280"/>
        <w:gridCol w:w="112"/>
        <w:gridCol w:w="306"/>
        <w:gridCol w:w="82"/>
        <w:gridCol w:w="997"/>
        <w:gridCol w:w="112"/>
        <w:gridCol w:w="306"/>
        <w:gridCol w:w="912"/>
        <w:gridCol w:w="306"/>
        <w:gridCol w:w="1301"/>
      </w:tblGrid>
      <w:tr w:rsidR="00000000">
        <w:trPr>
          <w:jc w:val="center"/>
        </w:trPr>
        <w:tc>
          <w:tcPr>
            <w:tcW w:w="2550" w:type="pct"/>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c>
          <w:tcPr>
            <w:tcW w:w="350" w:type="pct"/>
            <w:vAlign w:val="bottom"/>
            <w:hideMark/>
          </w:tcPr>
          <w:p w:rsidR="00000000" w:rsidRDefault="003E5AFF">
            <w:pPr>
              <w:rPr>
                <w:rFonts w:eastAsia="Times New Roman" w:cs="Times New Roman"/>
              </w:rPr>
            </w:pPr>
          </w:p>
        </w:tc>
        <w:tc>
          <w:tcPr>
            <w:tcW w:w="0" w:type="auto"/>
            <w:vAlign w:val="center"/>
            <w:hideMark/>
          </w:tcPr>
          <w:p w:rsidR="00000000" w:rsidRDefault="003E5AFF">
            <w:pPr>
              <w:rPr>
                <w:rFonts w:eastAsia="Times New Roman" w:cs="Times New Roman"/>
              </w:rPr>
            </w:pPr>
          </w:p>
        </w:tc>
      </w:tr>
      <w:tr w:rsidR="00000000">
        <w:trPr>
          <w:jc w:val="center"/>
        </w:trPr>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rPr>
              <w:t> </w:t>
            </w: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6"/>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Shares of common stock</w:t>
            </w:r>
            <w:r>
              <w:rPr>
                <w:rFonts w:ascii="Arial" w:eastAsia="Times New Roman" w:hAnsi="Arial" w:cs="Arial"/>
                <w:b/>
                <w:bCs/>
              </w:rPr>
              <w:br/>
              <w:t>beneficially owned prior to</w:t>
            </w:r>
            <w:r>
              <w:rPr>
                <w:rFonts w:ascii="Arial" w:eastAsia="Times New Roman" w:hAnsi="Arial" w:cs="Arial"/>
                <w:b/>
                <w:bCs/>
              </w:rPr>
              <w:br/>
              <w:t>this offering</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tcBorders>
              <w:top w:val="single" w:sz="12" w:space="0" w:color="000000"/>
            </w:tcBorders>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3"/>
            <w:tcBorders>
              <w:top w:val="single" w:sz="12" w:space="0" w:color="000000"/>
              <w:bottom w:val="single" w:sz="6" w:space="0" w:color="000000"/>
            </w:tcBorders>
            <w:vAlign w:val="bottom"/>
            <w:hideMark/>
          </w:tcPr>
          <w:p w:rsidR="00000000" w:rsidRDefault="003E5AFF">
            <w:pPr>
              <w:jc w:val="right"/>
              <w:rPr>
                <w:rFonts w:eastAsia="Times New Roman" w:cs="Times New Roman"/>
              </w:rPr>
            </w:pPr>
            <w:r>
              <w:rPr>
                <w:rFonts w:ascii="Arial" w:eastAsia="Times New Roman" w:hAnsi="Arial" w:cs="Arial"/>
                <w:b/>
                <w:bCs/>
              </w:rPr>
              <w:t>Shares of common stock</w:t>
            </w:r>
            <w:r>
              <w:rPr>
                <w:rFonts w:ascii="Arial" w:eastAsia="Times New Roman" w:hAnsi="Arial" w:cs="Arial"/>
                <w:b/>
                <w:bCs/>
              </w:rPr>
              <w:br/>
              <w:t>beneficially owned</w:t>
            </w:r>
            <w:r>
              <w:rPr>
                <w:rFonts w:ascii="Arial" w:eastAsia="Times New Roman" w:hAnsi="Arial" w:cs="Arial"/>
                <w:b/>
                <w:bCs/>
              </w:rPr>
              <w:br/>
              <w:t>after this offering</w:t>
            </w:r>
          </w:p>
        </w:tc>
      </w:tr>
      <w:tr w:rsidR="00000000">
        <w:trPr>
          <w:jc w:val="center"/>
        </w:trPr>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Number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gridSpan w:val="2"/>
            <w:vAlign w:val="bottom"/>
            <w:hideMark/>
          </w:tcPr>
          <w:p w:rsidR="00000000" w:rsidRDefault="003E5AFF">
            <w:pPr>
              <w:jc w:val="right"/>
              <w:rPr>
                <w:rFonts w:eastAsia="Times New Roman" w:cs="Times New Roman"/>
              </w:rPr>
            </w:pPr>
            <w:r>
              <w:rPr>
                <w:rFonts w:ascii="Arial" w:eastAsia="Times New Roman" w:hAnsi="Arial" w:cs="Arial"/>
                <w:b/>
                <w:bCs/>
              </w:rPr>
              <w:t>Percentage</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b/>
                <w:bCs/>
              </w:rPr>
              <w:t>Number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b/>
                <w:bCs/>
              </w:rPr>
              <w:t>Percentage</w:t>
            </w:r>
          </w:p>
        </w:tc>
      </w:tr>
      <w:tr w:rsidR="00000000">
        <w:trPr>
          <w:jc w:val="center"/>
        </w:trPr>
        <w:tc>
          <w:tcPr>
            <w:tcW w:w="0" w:type="auto"/>
            <w:gridSpan w:val="13"/>
            <w:hideMark/>
          </w:tcPr>
          <w:p w:rsidR="00000000" w:rsidRDefault="003E5AFF">
            <w:pPr>
              <w:pStyle w:val="NormalWeb"/>
              <w:pBdr>
                <w:bottom w:val="single" w:sz="6" w:space="0" w:color="000000"/>
              </w:pBdr>
              <w:rPr>
                <w:sz w:val="2"/>
                <w:szCs w:val="2"/>
              </w:rPr>
            </w:pPr>
            <w:r>
              <w:rPr>
                <w:sz w:val="2"/>
                <w:szCs w:val="2"/>
              </w:rPr>
              <w:t> </w:t>
            </w: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vAlign w:val="center"/>
            <w:hideMark/>
          </w:tcPr>
          <w:p w:rsidR="00000000" w:rsidRDefault="003E5AFF">
            <w:pPr>
              <w:rPr>
                <w:rFonts w:eastAsia="Times New Roman" w:cs="Times New Roman"/>
                <w:sz w:val="10"/>
              </w:rPr>
            </w:pPr>
          </w:p>
        </w:tc>
        <w:tc>
          <w:tcPr>
            <w:tcW w:w="0" w:type="auto"/>
            <w:gridSpan w:val="2"/>
            <w:vAlign w:val="center"/>
            <w:hideMark/>
          </w:tcPr>
          <w:p w:rsidR="00000000" w:rsidRDefault="003E5AFF">
            <w:pPr>
              <w:rPr>
                <w:rFonts w:eastAsia="Times New Roman" w:cs="Times New Roman"/>
                <w:sz w:val="10"/>
              </w:rPr>
            </w:pP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Principal Shareholders</w:t>
            </w:r>
            <w:r>
              <w:rPr>
                <w:rFonts w:ascii="Arial" w:hAnsi="Arial" w:cs="Arial"/>
                <w:b/>
                <w:bCs/>
              </w:rPr>
              <w:t>(1)</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Inversiones Quinchamali Limitada(2)</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581,754,802</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25.7%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Inversiones Latadia Limitada(3)</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550,823,211</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24.3%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Inversiones Tano Limitada(4)</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237,170,426</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10.5%</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Manfred Paulmann Koepfer(5)</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155,448,954</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trHeight w:val="100"/>
          <w:jc w:val="center"/>
        </w:trPr>
        <w:tc>
          <w:tcPr>
            <w:tcW w:w="0" w:type="auto"/>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4"/>
            <w:vAlign w:val="center"/>
            <w:hideMark/>
          </w:tcPr>
          <w:p w:rsidR="00000000" w:rsidRDefault="003E5AFF">
            <w:pPr>
              <w:rPr>
                <w:rFonts w:eastAsia="Times New Roman" w:cs="Times New Roman"/>
                <w:sz w:val="10"/>
              </w:rPr>
            </w:pPr>
          </w:p>
        </w:tc>
        <w:tc>
          <w:tcPr>
            <w:tcW w:w="0" w:type="auto"/>
            <w:gridSpan w:val="2"/>
            <w:vAlign w:val="center"/>
            <w:hideMark/>
          </w:tcPr>
          <w:p w:rsidR="00000000" w:rsidRDefault="003E5AFF">
            <w:pPr>
              <w:rPr>
                <w:rFonts w:eastAsia="Times New Roman" w:cs="Times New Roman"/>
                <w:sz w:val="10"/>
              </w:rPr>
            </w:pPr>
          </w:p>
        </w:tc>
        <w:tc>
          <w:tcPr>
            <w:tcW w:w="0" w:type="auto"/>
            <w:gridSpan w:val="2"/>
            <w:vAlign w:val="center"/>
            <w:hideMark/>
          </w:tcPr>
          <w:p w:rsidR="00000000" w:rsidRDefault="003E5AFF">
            <w:pPr>
              <w:rPr>
                <w:rFonts w:eastAsia="Times New Roman" w:cs="Times New Roman"/>
                <w:sz w:val="10"/>
              </w:rPr>
            </w:pPr>
          </w:p>
        </w:tc>
      </w:tr>
      <w:tr w:rsidR="00000000">
        <w:trPr>
          <w:jc w:val="center"/>
        </w:trPr>
        <w:tc>
          <w:tcPr>
            <w:tcW w:w="0" w:type="auto"/>
            <w:shd w:val="clear" w:color="auto" w:fill="CCEEFF"/>
            <w:hideMark/>
          </w:tcPr>
          <w:p w:rsidR="00000000" w:rsidRDefault="003E5AFF">
            <w:pPr>
              <w:pStyle w:val="NormalWeb"/>
              <w:ind w:left="240" w:hanging="240"/>
            </w:pPr>
            <w:r>
              <w:rPr>
                <w:rFonts w:ascii="Arial" w:hAnsi="Arial" w:cs="Arial"/>
                <w:b/>
                <w:bCs/>
                <w:u w:val="single"/>
              </w:rPr>
              <w:t>Directors and Executive Officers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Horst Paulmann Kemna(6)</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909,611,503</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40.2%</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Heike Paulmann Koepfer(7)</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155,221,347</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6.9%</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Peter Paulmann Koepfer(8)</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155,377,627</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6.9%</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David Gallagher</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Erasmo Wong Lu</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Roberto Oscar Philipps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Cristi_n Eyzaguirre Johnston</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Sven von Appen Behrmann</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Julio Moura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Daniel Rodr_guez</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Rodrigo Hetz</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Mauricio Soto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Carlos Mechetti</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Bronislao J</w:t>
            </w:r>
            <w:r>
              <w:rPr>
                <w:rFonts w:ascii="Arial" w:hAnsi="Arial" w:cs="Arial"/>
              </w:rPr>
              <w:t>andzio</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Pablo Castillo</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Carlos Wulf</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Jaime Soler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Patricio Rivas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Renzo Paonessa</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Marcelo Reyes</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480" w:hanging="240"/>
            </w:pPr>
            <w:r>
              <w:rPr>
                <w:rFonts w:ascii="Arial" w:hAnsi="Arial" w:cs="Arial"/>
              </w:rPr>
              <w:t>Pietro Illuminati</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shd w:val="clear" w:color="auto" w:fill="CCEEFF"/>
            <w:hideMark/>
          </w:tcPr>
          <w:p w:rsidR="00000000" w:rsidRDefault="003E5AFF">
            <w:pPr>
              <w:pStyle w:val="NormalWeb"/>
              <w:ind w:left="480" w:hanging="240"/>
            </w:pPr>
            <w:r>
              <w:rPr>
                <w:rFonts w:ascii="Arial" w:hAnsi="Arial" w:cs="Arial"/>
              </w:rPr>
              <w:t>Renato Fernandez</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jc w:val="right"/>
              <w:rPr>
                <w:rFonts w:eastAsia="Times New Roman" w:cs="Times New Roman"/>
              </w:rPr>
            </w:pPr>
            <w:r>
              <w:rPr>
                <w:rFonts w:ascii="Arial" w:eastAsia="Times New Roman" w:hAnsi="Arial" w:cs="Arial"/>
              </w:rPr>
              <w:t>_</w:t>
            </w:r>
          </w:p>
        </w:tc>
        <w:tc>
          <w:tcPr>
            <w:tcW w:w="0" w:type="auto"/>
            <w:shd w:val="clear" w:color="auto" w:fill="CCEEFF"/>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c>
          <w:tcPr>
            <w:tcW w:w="0" w:type="auto"/>
            <w:shd w:val="clear" w:color="auto" w:fill="CCEEFF"/>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shd w:val="clear" w:color="auto" w:fill="CCEEFF"/>
            <w:vAlign w:val="bottom"/>
            <w:hideMark/>
          </w:tcPr>
          <w:p w:rsidR="00000000" w:rsidRDefault="003E5AFF">
            <w:pPr>
              <w:rPr>
                <w:rFonts w:eastAsia="Times New Roman" w:cs="Times New Roman"/>
              </w:rPr>
            </w:pPr>
          </w:p>
        </w:tc>
      </w:tr>
      <w:tr w:rsidR="00000000">
        <w:trPr>
          <w:jc w:val="center"/>
        </w:trPr>
        <w:tc>
          <w:tcPr>
            <w:tcW w:w="0" w:type="auto"/>
            <w:hideMark/>
          </w:tcPr>
          <w:p w:rsidR="00000000" w:rsidRDefault="003E5AFF">
            <w:pPr>
              <w:pStyle w:val="NormalWeb"/>
              <w:ind w:left="240" w:hanging="240"/>
            </w:pPr>
            <w:r>
              <w:rPr>
                <w:rFonts w:ascii="Arial" w:hAnsi="Arial" w:cs="Arial"/>
                <w:b/>
                <w:bCs/>
                <w:u w:val="single"/>
              </w:rPr>
              <w:t>Total shares of common stock issued and outstanding</w:t>
            </w:r>
            <w:r>
              <w:rPr>
                <w:rFonts w:ascii="Arial" w:hAnsi="Arial" w:cs="Arial"/>
                <w:b/>
                <w:bCs/>
              </w:rPr>
              <w:t>(9)</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2,264,103,215</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jc w:val="right"/>
              <w:rPr>
                <w:rFonts w:eastAsia="Times New Roman" w:cs="Times New Roman"/>
              </w:rPr>
            </w:pPr>
            <w:r>
              <w:rPr>
                <w:rFonts w:ascii="Arial" w:eastAsia="Times New Roman" w:hAnsi="Arial" w:cs="Arial"/>
              </w:rPr>
              <w:t>100.0%</w:t>
            </w:r>
          </w:p>
        </w:tc>
        <w:tc>
          <w:tcPr>
            <w:tcW w:w="0" w:type="auto"/>
            <w:noWrap/>
            <w:vAlign w:val="bottom"/>
            <w:hideMark/>
          </w:tcPr>
          <w:p w:rsidR="00000000" w:rsidRDefault="003E5AFF">
            <w:pPr>
              <w:rPr>
                <w:rFonts w:eastAsia="Times New Roman" w:cs="Times New Roman"/>
              </w:rPr>
            </w:pPr>
            <w:r>
              <w:rPr>
                <w:rFonts w:ascii="Arial" w:eastAsia="Times New Roman" w:hAnsi="Arial" w:cs="Arial"/>
              </w:rPr>
              <w:t>  </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vAlign w:val="bottom"/>
            <w:hideMark/>
          </w:tcPr>
          <w:p w:rsidR="00000000" w:rsidRDefault="003E5AFF">
            <w:pPr>
              <w:rPr>
                <w:rFonts w:eastAsia="Times New Roman" w:cs="Times New Roman"/>
              </w:rPr>
            </w:pPr>
          </w:p>
        </w:tc>
      </w:tr>
      <w:tr w:rsidR="00000000">
        <w:trPr>
          <w:jc w:val="center"/>
        </w:trPr>
        <w:tc>
          <w:tcPr>
            <w:tcW w:w="0" w:type="auto"/>
            <w:gridSpan w:val="13"/>
            <w:hideMark/>
          </w:tcPr>
          <w:p w:rsidR="00000000" w:rsidRDefault="003E5AFF">
            <w:pPr>
              <w:pStyle w:val="NormalWeb"/>
              <w:pBdr>
                <w:bottom w:val="single" w:sz="6" w:space="0" w:color="000000"/>
              </w:pBdr>
              <w:rPr>
                <w:sz w:val="2"/>
                <w:szCs w:val="2"/>
              </w:rPr>
            </w:pPr>
            <w:r>
              <w:rPr>
                <w:sz w:val="2"/>
                <w:szCs w:val="2"/>
              </w:rPr>
              <w:t>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66"/>
        <w:gridCol w:w="83"/>
        <w:gridCol w:w="8057"/>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Represents beneficial ownership of less than one percent of 2,264,103,215 ordinary shares outstanding.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(1)</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Our principal shareholders do not have different voting rights than other shareholders. All holders of our shares of common stock are ent</w:t>
            </w:r>
            <w:r>
              <w:rPr>
                <w:rFonts w:ascii="Arial" w:eastAsia="Times New Roman" w:hAnsi="Arial" w:cs="Arial"/>
                <w:sz w:val="15"/>
                <w:szCs w:val="15"/>
              </w:rPr>
              <w:t xml:space="preserve">itled to one vote per share of common stock in all shareholders_ meetings.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(2)</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Inversiones Quinchamali Limitada is a Chilean company majority owned by Horst Paulmann Kemna, our Chairman of the Board, with the remainder owned by members of the Paulmann family. Members of the Paulmann family include Horst Paulmann Kemna, Helga Koepfer </w:t>
            </w:r>
            <w:r>
              <w:rPr>
                <w:rFonts w:ascii="Arial" w:eastAsia="Times New Roman" w:hAnsi="Arial" w:cs="Arial"/>
                <w:sz w:val="15"/>
                <w:szCs w:val="15"/>
              </w:rPr>
              <w:t xml:space="preserve">Schoebitz, Manfred Paulmann Koepfer, Peter Paulmann Koepfer and Heike Paulmann Koepfer. The address for Inversiones Quinchamali Limitada is Avenida Kennedy 9001, Piso 7, Las Condes, Santiago, Chile.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- 236 - </w:t>
      </w:r>
    </w:p>
    <w:p w:rsidR="00000000" w:rsidRDefault="003E5AFF">
      <w:pPr>
        <w:rPr>
          <w:rFonts w:eastAsia="Times New Roman" w:cs="Times New Roman"/>
        </w:rPr>
      </w:pPr>
      <w:r>
        <w:rPr>
          <w:rFonts w:eastAsia="Times New Roman" w:cs="Times New Roman"/>
        </w:rPr>
        <w:pict>
          <v:rect id="_x0000_i1273" style="width:441.9pt;height:3pt" o:hralign="center" o:hrstd="t" o:hrnoshade="t" o:hr="t" fillcolor="#999" stroked="f"/>
        </w:pict>
      </w:r>
    </w:p>
    <w:p w:rsidR="00000000" w:rsidRDefault="003E5AFF">
      <w:pPr>
        <w:pStyle w:val="Heading5"/>
        <w:rPr>
          <w:rFonts w:eastAsia="Times New Roman" w:cs="Times New Roman"/>
        </w:rPr>
      </w:pPr>
      <w:hyperlink r:id="rId290" w:anchor="toc" w:history="1">
        <w:r>
          <w:rPr>
            <w:rStyle w:val="Hyperlink"/>
            <w:rFonts w:eastAsia="Times New Roman" w:cs="Times New Roman"/>
          </w:rPr>
          <w:t>Table</w:t>
        </w:r>
        <w:r>
          <w:rPr>
            <w:rStyle w:val="Hyperlink"/>
            <w:rFonts w:eastAsia="Times New Roman" w:cs="Times New Roman"/>
          </w:rPr>
          <w:t xml:space="preserve"> of Contents</w:t>
        </w:r>
      </w:hyperlink>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(3)</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Inversiones Latadia Limitada is a Chilean company majority owned by Inversiones Quinchamali Limitada, with the remainder owned indirectly by members of the Paulmann family. Its address is Avenida Kennedy 9001, Piso 7, Las Condes, </w:t>
            </w:r>
            <w:r>
              <w:rPr>
                <w:rFonts w:ascii="Arial" w:eastAsia="Times New Roman" w:hAnsi="Arial" w:cs="Arial"/>
                <w:sz w:val="15"/>
                <w:szCs w:val="15"/>
              </w:rPr>
              <w:t xml:space="preserve">Santiago, Chile.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(4)</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Inversiones Tano Limitada is a Chilean company majority owned by Inversiones Quinchamali Limitada, with the remainder owned by Inversiones Latadia Limitada. Its address is </w:t>
            </w:r>
            <w:r>
              <w:rPr>
                <w:rFonts w:ascii="Arial" w:eastAsia="Times New Roman" w:hAnsi="Arial" w:cs="Arial"/>
                <w:sz w:val="15"/>
                <w:szCs w:val="15"/>
              </w:rPr>
              <w:t xml:space="preserve">Avenida Kennedy 9001, Piso 7, Las Condes, Santiago, Chile.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(5)</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Manfred Paulmann Koepfer owns 0.6% of our shares of common stock directly and the remaining amount through direct and indirect ownership in Inversiones Quinchamali Limitada, Inversi</w:t>
            </w:r>
            <w:r>
              <w:rPr>
                <w:rFonts w:ascii="Arial" w:eastAsia="Times New Roman" w:hAnsi="Arial" w:cs="Arial"/>
                <w:sz w:val="15"/>
                <w:szCs w:val="15"/>
              </w:rPr>
              <w:t xml:space="preserve">ones Latadia Limitada and Inversiones Tano Limitada. Manfred Paulmann Koepfer is the son of Horst Paulmann Kemna, our Chairman of the Board. </w:t>
            </w:r>
          </w:p>
        </w:tc>
      </w:tr>
    </w:tbl>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(6)</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Horst Paulmann Kemna owns 2.5% of our shares of common stock directly and the remaining amount through direct and indirect ownership in Inversiones Quinchamali Limitada, Inversiones Latadia Limitada and Inversiones Tano Limitada. </w:t>
            </w:r>
          </w:p>
        </w:tc>
      </w:tr>
    </w:tbl>
    <w:p w:rsidR="00000000" w:rsidRDefault="003E5AFF">
      <w:pPr>
        <w:pStyle w:val="NormalWeb"/>
        <w:spacing w:before="60" w:beforeAutospacing="0" w:after="0" w:afterAutospacing="0"/>
        <w:ind w:left="357"/>
      </w:pPr>
      <w:r>
        <w:rPr>
          <w:rFonts w:ascii="Arial" w:hAnsi="Arial" w:cs="Arial"/>
          <w:sz w:val="15"/>
          <w:szCs w:val="15"/>
        </w:rPr>
        <w:t>Horst Paulmann Kemna, our</w:t>
      </w:r>
      <w:r>
        <w:rPr>
          <w:rFonts w:ascii="Arial" w:hAnsi="Arial" w:cs="Arial"/>
          <w:sz w:val="15"/>
          <w:szCs w:val="15"/>
        </w:rPr>
        <w:t xml:space="preserve"> Chairman of the Board, is the father of Heike Paulmann Koepfer and Peter Paulmann Koepfer, who both serve on our Board of Directors. See _Management._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(7)</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Heike Paulmann Koepfer owns 0.6% of our shares of common stock directly and the remainin</w:t>
            </w:r>
            <w:r>
              <w:rPr>
                <w:rFonts w:ascii="Arial" w:eastAsia="Times New Roman" w:hAnsi="Arial" w:cs="Arial"/>
                <w:sz w:val="15"/>
                <w:szCs w:val="15"/>
              </w:rPr>
              <w:t xml:space="preserve">g amount through direct and indirect ownership in Inversiones Quinchamali Limitada, Inversiones Latadia Limitada and Inversiones Tano Limitada. </w:t>
            </w:r>
          </w:p>
        </w:tc>
      </w:tr>
    </w:tbl>
    <w:p w:rsidR="00000000" w:rsidRDefault="003E5AFF">
      <w:pPr>
        <w:pStyle w:val="NormalWeb"/>
        <w:spacing w:before="60" w:beforeAutospacing="0" w:after="0" w:afterAutospacing="0"/>
        <w:ind w:left="357"/>
      </w:pPr>
      <w:r>
        <w:rPr>
          <w:rFonts w:ascii="Arial" w:hAnsi="Arial" w:cs="Arial"/>
          <w:sz w:val="15"/>
          <w:szCs w:val="15"/>
        </w:rPr>
        <w:t>Horst Paulmann Kemna, our Chairman of the Board, is the father of Heike Paulmann Koepfer and Peter Paulmann Koe</w:t>
      </w:r>
      <w:r>
        <w:rPr>
          <w:rFonts w:ascii="Arial" w:hAnsi="Arial" w:cs="Arial"/>
          <w:sz w:val="15"/>
          <w:szCs w:val="15"/>
        </w:rPr>
        <w:t xml:space="preserve">pfer, who both serve on our Board of Directors. See _Management._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(8)</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 xml:space="preserve">Peter Paulmann Koepfer owns 0.6% of our shares of common stock directly and the remaining amount through direct and indirect ownership in Inversiones Quinchamali Limitada, </w:t>
            </w:r>
            <w:r>
              <w:rPr>
                <w:rFonts w:ascii="Arial" w:eastAsia="Times New Roman" w:hAnsi="Arial" w:cs="Arial"/>
                <w:sz w:val="15"/>
                <w:szCs w:val="15"/>
              </w:rPr>
              <w:t xml:space="preserve">Inversiones Latadia Limitada and Inversiones Tano Limitada. </w:t>
            </w:r>
          </w:p>
        </w:tc>
      </w:tr>
    </w:tbl>
    <w:p w:rsidR="00000000" w:rsidRDefault="003E5AFF">
      <w:pPr>
        <w:pStyle w:val="NormalWeb"/>
        <w:spacing w:before="60" w:beforeAutospacing="0" w:after="0" w:afterAutospacing="0"/>
        <w:ind w:left="357"/>
      </w:pPr>
      <w:r>
        <w:rPr>
          <w:rFonts w:ascii="Arial" w:hAnsi="Arial" w:cs="Arial"/>
          <w:sz w:val="15"/>
          <w:szCs w:val="15"/>
        </w:rPr>
        <w:t xml:space="preserve">Horst Paulmann Kemna, our Chairman of the Board, is the father of Heike Paulmann Koepfer and Peter Paulmann Koepfer, who both serve on our Board of Directors. See _Management._ </w:t>
      </w:r>
    </w:p>
    <w:p w:rsidR="00000000" w:rsidRDefault="003E5AFF">
      <w:pPr>
        <w:pStyle w:val="NormalWeb"/>
        <w:spacing w:before="0" w:beforeAutospacing="0" w:after="0" w:afterAutospacing="0"/>
        <w:rPr>
          <w:sz w:val="6"/>
          <w:szCs w:val="6"/>
        </w:rPr>
      </w:pPr>
      <w:r>
        <w:rPr>
          <w:sz w:val="6"/>
          <w:szCs w:val="6"/>
        </w:rPr>
        <w:t> </w:t>
      </w:r>
    </w:p>
    <w:tbl>
      <w:tblPr>
        <w:tblW w:w="5000" w:type="pct"/>
        <w:tblCellMar>
          <w:left w:w="0" w:type="dxa"/>
          <w:right w:w="0" w:type="dxa"/>
        </w:tblCellMar>
        <w:tblLook w:val="04A0" w:firstRow="1" w:lastRow="0" w:firstColumn="1" w:lastColumn="0" w:noHBand="0" w:noVBand="1"/>
      </w:tblPr>
      <w:tblGrid>
        <w:gridCol w:w="184"/>
        <w:gridCol w:w="74"/>
        <w:gridCol w:w="8048"/>
      </w:tblGrid>
      <w:tr w:rsidR="00000000">
        <w:tc>
          <w:tcPr>
            <w:tcW w:w="100" w:type="pct"/>
            <w:hideMark/>
          </w:tcPr>
          <w:p w:rsidR="00000000" w:rsidRDefault="003E5AFF">
            <w:pPr>
              <w:rPr>
                <w:rFonts w:eastAsia="Times New Roman" w:cs="Times New Roman"/>
              </w:rPr>
            </w:pPr>
            <w:r>
              <w:rPr>
                <w:rFonts w:ascii="Arial" w:eastAsia="Times New Roman" w:hAnsi="Arial" w:cs="Arial"/>
                <w:sz w:val="15"/>
                <w:szCs w:val="15"/>
              </w:rPr>
              <w:t>(9)</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sz w:val="15"/>
                <w:szCs w:val="15"/>
              </w:rPr>
              <w:t>Me</w:t>
            </w:r>
            <w:r>
              <w:rPr>
                <w:rFonts w:ascii="Arial" w:eastAsia="Times New Roman" w:hAnsi="Arial" w:cs="Arial"/>
                <w:sz w:val="15"/>
                <w:szCs w:val="15"/>
              </w:rPr>
              <w:t xml:space="preserve">mbers of the Paulmann family, including Helga Koepfer Schoebitz, wife of Horst Paulmann Kemna, our Chairman of the Board, own, directly and indirectly approximately 65% of our shares of common stock. </w:t>
            </w:r>
          </w:p>
        </w:tc>
      </w:tr>
    </w:tbl>
    <w:p w:rsidR="00000000" w:rsidRDefault="003E5AFF">
      <w:pPr>
        <w:pStyle w:val="NormalWeb"/>
        <w:spacing w:before="120" w:beforeAutospacing="0" w:after="0" w:afterAutospacing="0"/>
      </w:pPr>
      <w:r>
        <w:rPr>
          <w:rFonts w:ascii="Arial" w:hAnsi="Arial" w:cs="Arial"/>
        </w:rPr>
        <w:t>As of June 7, 2012, the most recent practicable date, 8</w:t>
      </w:r>
      <w:r>
        <w:rPr>
          <w:rFonts w:ascii="Arial" w:hAnsi="Arial" w:cs="Arial"/>
        </w:rPr>
        <w:t>14,870 ADSs (equivalent to 2,444,502 shares, or less than 1% of the total outstanding shares of our common stock) were outstanding and held of record by 10 registered holders. All of these holders had registered addresses in the United States. We are aware</w:t>
      </w:r>
      <w:r>
        <w:rPr>
          <w:rFonts w:ascii="Arial" w:hAnsi="Arial" w:cs="Arial"/>
        </w:rPr>
        <w:t xml:space="preserve"> that many ADSs are held of record by brokers and other nominees, and accordingly the above numbers are not necessarily representative of the actual number of U.S. persons who are beneficial holders of ADSs or the number of ADSs beneficially held by such p</w:t>
      </w:r>
      <w:r>
        <w:rPr>
          <w:rFonts w:ascii="Arial" w:hAnsi="Arial" w:cs="Arial"/>
        </w:rPr>
        <w:t xml:space="preserve">ersons. </w:t>
      </w:r>
    </w:p>
    <w:p w:rsidR="00000000" w:rsidRDefault="003E5AFF">
      <w:pPr>
        <w:pStyle w:val="NormalWeb"/>
        <w:spacing w:before="120" w:beforeAutospacing="0" w:after="0" w:afterAutospacing="0"/>
      </w:pPr>
      <w:r>
        <w:rPr>
          <w:rFonts w:ascii="Arial" w:hAnsi="Arial" w:cs="Arial"/>
        </w:rPr>
        <w:t xml:space="preserve">U.S. investors will not be offered any shares of common stock underlying the preemptive rights to be offered in the preemptive rights offering. For the </w:t>
      </w:r>
      <w:r>
        <w:rPr>
          <w:rFonts w:ascii="Arial" w:hAnsi="Arial" w:cs="Arial"/>
        </w:rPr>
        <w:t>Company_s existing ADR facility, the Company will issue rights to subscribe for shares of the Company_s common stock to Banco Santander Chile, as custodian bank (the _Custodian Bank_) for the Depositary (as defined below), in Chile in a transaction outside</w:t>
      </w:r>
      <w:r>
        <w:rPr>
          <w:rFonts w:ascii="Arial" w:hAnsi="Arial" w:cs="Arial"/>
        </w:rPr>
        <w:t xml:space="preserve"> the U.S. to non-U.S. persons in accordance with Regulation S under the Securities Act. Pursuant to the terms of the existing deposit agreement, and consistent with market practices, the Custodian Bank will sell the rights to subscribe for shares of our co</w:t>
      </w:r>
      <w:r>
        <w:rPr>
          <w:rFonts w:ascii="Arial" w:hAnsi="Arial" w:cs="Arial"/>
        </w:rPr>
        <w:t>mmon stock it receives in the preemptive rights offering and distribute any cash proceeds from such sale to the owners of ADRs who are owners of record on the record date established for this purpose by the Depositary. See _Description of American Deposita</w:t>
      </w:r>
      <w:r>
        <w:rPr>
          <w:rFonts w:ascii="Arial" w:hAnsi="Arial" w:cs="Arial"/>
        </w:rPr>
        <w:t xml:space="preserve">ry Receipts_ for additional details regarding our existing ADR facility.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- 237 - </w:t>
      </w:r>
    </w:p>
    <w:p w:rsidR="00000000" w:rsidRDefault="003E5AFF">
      <w:pPr>
        <w:rPr>
          <w:rFonts w:eastAsia="Times New Roman" w:cs="Times New Roman"/>
        </w:rPr>
      </w:pPr>
      <w:r>
        <w:rPr>
          <w:rFonts w:eastAsia="Times New Roman" w:cs="Times New Roman"/>
        </w:rPr>
        <w:pict>
          <v:rect id="_x0000_i1274" style="width:441.9pt;height:3pt" o:hralign="center" o:hrstd="t" o:hrnoshade="t" o:hr="t" fillcolor="#999" stroked="f"/>
        </w:pict>
      </w:r>
    </w:p>
    <w:p w:rsidR="00000000" w:rsidRDefault="003E5AFF">
      <w:pPr>
        <w:pStyle w:val="Heading5"/>
        <w:rPr>
          <w:rFonts w:eastAsia="Times New Roman" w:cs="Times New Roman"/>
        </w:rPr>
      </w:pPr>
      <w:hyperlink r:id="rId291"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jc w:val="center"/>
      </w:pPr>
      <w:bookmarkStart w:id="24" w:name="rom343004_23"/>
      <w:bookmarkEnd w:id="24"/>
      <w:r>
        <w:rPr>
          <w:rFonts w:ascii="Arial" w:hAnsi="Arial" w:cs="Arial"/>
          <w:b/>
          <w:bCs/>
          <w:sz w:val="36"/>
          <w:szCs w:val="36"/>
        </w:rPr>
        <w:t xml:space="preserve">Related party transactions </w:t>
      </w:r>
    </w:p>
    <w:p w:rsidR="00000000" w:rsidRDefault="003E5AFF">
      <w:pPr>
        <w:pStyle w:val="NormalWeb"/>
        <w:spacing w:before="120" w:beforeAutospacing="0" w:after="0" w:afterAutospacing="0"/>
      </w:pPr>
      <w:r>
        <w:rPr>
          <w:rFonts w:ascii="Arial" w:hAnsi="Arial" w:cs="Arial"/>
          <w:b/>
          <w:bCs/>
          <w:sz w:val="24"/>
          <w:szCs w:val="24"/>
        </w:rPr>
        <w:t xml:space="preserve">Chilean regulations </w:t>
      </w:r>
    </w:p>
    <w:p w:rsidR="00000000" w:rsidRDefault="003E5AFF">
      <w:pPr>
        <w:pStyle w:val="NormalWeb"/>
        <w:spacing w:before="120" w:beforeAutospacing="0" w:after="0" w:afterAutospacing="0"/>
      </w:pPr>
      <w:r>
        <w:rPr>
          <w:rFonts w:ascii="Arial" w:hAnsi="Arial" w:cs="Arial"/>
        </w:rPr>
        <w:t>In the ordinary course of our business, we may incur related party indebtedness in the future on fair market terms. Articles 146 et seq of the Chilean Corporations Law regulate related party transac</w:t>
      </w:r>
      <w:r>
        <w:rPr>
          <w:rFonts w:ascii="Arial" w:hAnsi="Arial" w:cs="Arial"/>
        </w:rPr>
        <w:t>tions to be incurred by publicly held corporations. Article 147 of the Chilean Corporations Law requires our transactions with related parties be on a market basis or on similar terms to those customarily prevailing in the market and to be beneficial to th</w:t>
      </w:r>
      <w:r>
        <w:rPr>
          <w:rFonts w:ascii="Arial" w:hAnsi="Arial" w:cs="Arial"/>
        </w:rPr>
        <w:t>e interest of the company. Article 147 requires us to compare the terms of any such transaction to those prevailing in the market at the date the transaction is approved. For a related party transaction to be entered into, the approval of the board of dire</w:t>
      </w:r>
      <w:r>
        <w:rPr>
          <w:rFonts w:ascii="Arial" w:hAnsi="Arial" w:cs="Arial"/>
        </w:rPr>
        <w:t>ctors is required. Directors of companies that violate Article 147 are liable for damages and losses resulting from such violation. In addition, Article 147 of the Chilean Corporations Law provides that any transaction in which a director has a personal in</w:t>
      </w:r>
      <w:r>
        <w:rPr>
          <w:rFonts w:ascii="Arial" w:hAnsi="Arial" w:cs="Arial"/>
        </w:rPr>
        <w:t>terest or is acting on behalf of a third party must be previously approved by the board of directors, with the exclusion of the interested director. The board of directors will approve the transaction only when it has been informed of such director_s inter</w:t>
      </w:r>
      <w:r>
        <w:rPr>
          <w:rFonts w:ascii="Arial" w:hAnsi="Arial" w:cs="Arial"/>
        </w:rPr>
        <w:t>est, the transaction is beneficial to the company and the terms of such transaction are similar to those prevailing in the market. If the majority of the directors are interested parties, the transaction may be entered into if approved unanimously by non-i</w:t>
      </w:r>
      <w:r>
        <w:rPr>
          <w:rFonts w:ascii="Arial" w:hAnsi="Arial" w:cs="Arial"/>
        </w:rPr>
        <w:t>nterested directors, or by two-thirds or more of the votes at a special shareholders_ meeting. If a special shareholders_ meeting is called, the board shall appoint two independent evaluators, who will inform the shareholders of the terms and conditions of</w:t>
      </w:r>
      <w:r>
        <w:rPr>
          <w:rFonts w:ascii="Arial" w:hAnsi="Arial" w:cs="Arial"/>
        </w:rPr>
        <w:t xml:space="preserve"> the transaction, its effects and the potential impact in the Company. The evaluators_ final conclusions must be made available to shareholders and directors the day after the company receives such report. The report will be available for a period of at le</w:t>
      </w:r>
      <w:r>
        <w:rPr>
          <w:rFonts w:ascii="Arial" w:hAnsi="Arial" w:cs="Arial"/>
        </w:rPr>
        <w:t xml:space="preserve">ast 15 business days following the company_s receipt of the evaluator_s report and notice shall be provided to the shareholders by means of an </w:t>
      </w:r>
      <w:r>
        <w:rPr>
          <w:rFonts w:ascii="Arial" w:hAnsi="Arial" w:cs="Arial"/>
          <w:i/>
          <w:iCs/>
        </w:rPr>
        <w:t>hecho esencial</w:t>
      </w:r>
      <w:r>
        <w:rPr>
          <w:rFonts w:ascii="Arial" w:hAnsi="Arial" w:cs="Arial"/>
        </w:rPr>
        <w:t xml:space="preserve">. </w:t>
      </w:r>
    </w:p>
    <w:p w:rsidR="00000000" w:rsidRDefault="003E5AFF">
      <w:pPr>
        <w:pStyle w:val="NormalWeb"/>
        <w:spacing w:before="240" w:beforeAutospacing="0" w:after="0" w:afterAutospacing="0"/>
      </w:pPr>
      <w:r>
        <w:rPr>
          <w:rFonts w:ascii="Arial" w:hAnsi="Arial" w:cs="Arial"/>
          <w:b/>
          <w:bCs/>
          <w:i/>
          <w:iCs/>
        </w:rPr>
        <w:t xml:space="preserve">General </w:t>
      </w:r>
    </w:p>
    <w:p w:rsidR="00000000" w:rsidRDefault="003E5AFF">
      <w:pPr>
        <w:pStyle w:val="NormalWeb"/>
        <w:spacing w:before="120" w:beforeAutospacing="0" w:after="0" w:afterAutospacing="0"/>
      </w:pPr>
      <w:r>
        <w:rPr>
          <w:rFonts w:ascii="Arial" w:hAnsi="Arial" w:cs="Arial"/>
        </w:rPr>
        <w:t>The following related party transactions may be entered into without complying with the</w:t>
      </w:r>
      <w:r>
        <w:rPr>
          <w:rFonts w:ascii="Arial" w:hAnsi="Arial" w:cs="Arial"/>
        </w:rPr>
        <w:t xml:space="preserve"> aforementioned requirements and with only the approval of the board of directors: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transaction does not involve an amount considered to be material. A transaction involves a material amount if: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22"/>
        <w:gridCol w:w="112"/>
        <w:gridCol w:w="73"/>
        <w:gridCol w:w="7799"/>
      </w:tblGrid>
      <w:tr w:rsidR="00000000">
        <w:tc>
          <w:tcPr>
            <w:tcW w:w="2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transaction amount is more than 1% of the company_s equity, provided such transaction amount exceeds the equivalent of 2,000 UF,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322"/>
        <w:gridCol w:w="112"/>
        <w:gridCol w:w="73"/>
        <w:gridCol w:w="7799"/>
      </w:tblGrid>
      <w:tr w:rsidR="00000000">
        <w:tc>
          <w:tcPr>
            <w:tcW w:w="200" w:type="pct"/>
            <w:vAlign w:val="center"/>
            <w:hideMark/>
          </w:tcPr>
          <w:p w:rsidR="00000000" w:rsidRDefault="003E5AFF">
            <w:pPr>
              <w:rPr>
                <w:rFonts w:eastAsia="Times New Roman" w:cs="Times New Roman"/>
              </w:rPr>
            </w:pPr>
            <w:r>
              <w:rPr>
                <w:rFonts w:eastAsia="Times New Roman" w:cs="Times New Roman"/>
                <w:sz w:val="15"/>
                <w:szCs w:val="15"/>
              </w:rPr>
              <w:t> </w:t>
            </w:r>
          </w:p>
        </w:tc>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transaction amount exceeds the equivalent to 20,000 UF.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transaction is in the ordinary course of business, as determined by the corporation_s policies regarding such matters.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transaction is with a related party which the company owns at least 95% of, either directly or indirectly. </w:t>
            </w:r>
          </w:p>
        </w:tc>
      </w:tr>
    </w:tbl>
    <w:p w:rsidR="00000000" w:rsidRDefault="003E5AFF">
      <w:pPr>
        <w:pStyle w:val="NormalWeb"/>
        <w:spacing w:before="120" w:beforeAutospacing="0" w:after="0" w:afterAutospacing="0"/>
      </w:pPr>
      <w:r>
        <w:rPr>
          <w:rFonts w:ascii="Arial" w:hAnsi="Arial" w:cs="Arial"/>
        </w:rPr>
        <w:t>All resolutions approving such transactions must be reported to the Company_s shareholders at the next annual shareholders meeting. Violation of Article 146 et seq may result in administrative or criminal sanctions and civil liability to shareholders or th</w:t>
      </w:r>
      <w:r>
        <w:rPr>
          <w:rFonts w:ascii="Arial" w:hAnsi="Arial" w:cs="Arial"/>
        </w:rPr>
        <w:t xml:space="preserve">ird parties who suffer losses as a result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- 238 - </w:t>
      </w:r>
    </w:p>
    <w:p w:rsidR="00000000" w:rsidRDefault="003E5AFF">
      <w:pPr>
        <w:rPr>
          <w:rFonts w:eastAsia="Times New Roman" w:cs="Times New Roman"/>
        </w:rPr>
      </w:pPr>
      <w:r>
        <w:rPr>
          <w:rFonts w:eastAsia="Times New Roman" w:cs="Times New Roman"/>
        </w:rPr>
        <w:pict>
          <v:rect id="_x0000_i1275" style="width:441.9pt;height:3pt" o:hralign="center" o:hrstd="t" o:hrnoshade="t" o:hr="t" fillcolor="#999" stroked="f"/>
        </w:pict>
      </w:r>
    </w:p>
    <w:p w:rsidR="00000000" w:rsidRDefault="003E5AFF">
      <w:pPr>
        <w:pStyle w:val="Heading5"/>
        <w:rPr>
          <w:rFonts w:eastAsia="Times New Roman" w:cs="Times New Roman"/>
        </w:rPr>
      </w:pPr>
      <w:hyperlink r:id="rId29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of such violation. We believe that we have complied with the requir</w:t>
      </w:r>
      <w:r>
        <w:rPr>
          <w:rFonts w:ascii="Arial" w:hAnsi="Arial" w:cs="Arial"/>
        </w:rPr>
        <w:t xml:space="preserve">ements of Articles 146 et seq in all transactions with related parties. See _Description of Share Capital_Director requirements._ </w:t>
      </w:r>
    </w:p>
    <w:p w:rsidR="00000000" w:rsidRDefault="003E5AFF">
      <w:pPr>
        <w:pStyle w:val="NormalWeb"/>
        <w:spacing w:before="240" w:beforeAutospacing="0" w:after="0" w:afterAutospacing="0"/>
      </w:pPr>
      <w:r>
        <w:rPr>
          <w:rFonts w:ascii="Arial" w:hAnsi="Arial" w:cs="Arial"/>
          <w:b/>
          <w:bCs/>
          <w:sz w:val="24"/>
          <w:szCs w:val="24"/>
        </w:rPr>
        <w:t xml:space="preserve">Related party transactions </w:t>
      </w:r>
    </w:p>
    <w:p w:rsidR="00000000" w:rsidRDefault="003E5AFF">
      <w:pPr>
        <w:pStyle w:val="NormalWeb"/>
        <w:spacing w:before="120" w:beforeAutospacing="0" w:after="0" w:afterAutospacing="0"/>
      </w:pPr>
      <w:r>
        <w:rPr>
          <w:rFonts w:ascii="Arial" w:hAnsi="Arial" w:cs="Arial"/>
        </w:rPr>
        <w:t xml:space="preserve">Below is a description of the outstanding transactions between us and our related parties, including the respective outstanding amounts since January 1, 2009: </w:t>
      </w:r>
    </w:p>
    <w:p w:rsidR="00000000" w:rsidRDefault="003E5AFF">
      <w:pPr>
        <w:pStyle w:val="NormalWeb"/>
        <w:spacing w:before="240" w:beforeAutospacing="0" w:after="0" w:afterAutospacing="0"/>
      </w:pPr>
      <w:r>
        <w:rPr>
          <w:rFonts w:ascii="Arial" w:hAnsi="Arial" w:cs="Arial"/>
          <w:i/>
          <w:iCs/>
        </w:rPr>
        <w:t xml:space="preserve">Purchase and sale agreements </w:t>
      </w:r>
    </w:p>
    <w:p w:rsidR="00000000" w:rsidRDefault="003E5AFF">
      <w:pPr>
        <w:pStyle w:val="NormalWeb"/>
        <w:spacing w:before="120" w:beforeAutospacing="0" w:after="0" w:afterAutospacing="0"/>
      </w:pPr>
      <w:r>
        <w:rPr>
          <w:rFonts w:ascii="Arial" w:hAnsi="Arial" w:cs="Arial"/>
        </w:rPr>
        <w:t xml:space="preserve">During the three months ended March 31, 2012, we purchased CH$618 </w:t>
      </w:r>
      <w:r>
        <w:rPr>
          <w:rFonts w:ascii="Arial" w:hAnsi="Arial" w:cs="Arial"/>
        </w:rPr>
        <w:t>million and during 2011, 2010 and 2009, we purchased general merchandise in the amount of Ch$2,119 million and Ch$1,883 million and Ch$1,164 million, respectively, from Wenco S.A. (_Wenco_), a Chilean plastic goods manufacturer on whose board Cristi_n Eyza</w:t>
      </w:r>
      <w:r>
        <w:rPr>
          <w:rFonts w:ascii="Arial" w:hAnsi="Arial" w:cs="Arial"/>
        </w:rPr>
        <w:t xml:space="preserve">guirre Johnston, one of our directors, serves as a director. In 2011 and 2010, we also sold general merchandise in the amount of Ch$261 million and Ch$160 million, respectively, to Wenco. </w:t>
      </w:r>
    </w:p>
    <w:p w:rsidR="00000000" w:rsidRDefault="003E5AFF">
      <w:pPr>
        <w:pStyle w:val="NormalWeb"/>
        <w:spacing w:before="240" w:beforeAutospacing="0" w:after="0" w:afterAutospacing="0"/>
      </w:pPr>
      <w:r>
        <w:rPr>
          <w:rFonts w:ascii="Arial" w:hAnsi="Arial" w:cs="Arial"/>
          <w:i/>
          <w:iCs/>
        </w:rPr>
        <w:t xml:space="preserve">Leases </w:t>
      </w:r>
    </w:p>
    <w:p w:rsidR="00000000" w:rsidRDefault="003E5AFF">
      <w:pPr>
        <w:pStyle w:val="NormalWeb"/>
        <w:spacing w:before="120" w:beforeAutospacing="0" w:after="0" w:afterAutospacing="0"/>
      </w:pPr>
      <w:r>
        <w:rPr>
          <w:rFonts w:ascii="Arial" w:hAnsi="Arial" w:cs="Arial"/>
        </w:rPr>
        <w:t xml:space="preserve">We lease space in various of </w:t>
      </w:r>
      <w:r>
        <w:rPr>
          <w:rFonts w:ascii="Arial" w:hAnsi="Arial" w:cs="Arial"/>
        </w:rPr>
        <w:t>our shopping centers in Chile to Maxi Kioskos Chile, S.A., a Chilean convenience store operator on whose board Manfred Paulmann Koepfer, one of our principal shareholders, serves as a director. Lease payments during the three months ended March 31, 2012 am</w:t>
      </w:r>
      <w:r>
        <w:rPr>
          <w:rFonts w:ascii="Arial" w:hAnsi="Arial" w:cs="Arial"/>
        </w:rPr>
        <w:t xml:space="preserve">ounted Ch$ 108 millions and in 2011, 2010 and 2009 amounted to Ch$361 million, Ch$395 million and Ch$185 million, respectively. </w:t>
      </w:r>
    </w:p>
    <w:p w:rsidR="00000000" w:rsidRDefault="003E5AFF">
      <w:pPr>
        <w:pStyle w:val="NormalWeb"/>
        <w:spacing w:before="120" w:beforeAutospacing="0" w:after="0" w:afterAutospacing="0"/>
      </w:pPr>
      <w:r>
        <w:rPr>
          <w:rFonts w:ascii="Arial" w:hAnsi="Arial" w:cs="Arial"/>
        </w:rPr>
        <w:t>We also lease space in various of our shopping centers in Chile to Automotora Globus Atv Chile Ltda. (_Globus_), a Chilean auto</w:t>
      </w:r>
      <w:r>
        <w:rPr>
          <w:rFonts w:ascii="Arial" w:hAnsi="Arial" w:cs="Arial"/>
        </w:rPr>
        <w:t>motive retailer controlled by Manfred Paulmann Koepfer, one of our principal shareholders. Lease payments during 2011 and 2009 amounted to Ch$154 million and Ch$4 million, respectively. There were no lease transaction in 2010. In 2011 and 2009, we also sol</w:t>
      </w:r>
      <w:r>
        <w:rPr>
          <w:rFonts w:ascii="Arial" w:hAnsi="Arial" w:cs="Arial"/>
        </w:rPr>
        <w:t xml:space="preserve">d general merchandise to Globus in the amount of Ch$31 million and Ch$ 2 million, respectively. There were no sales of general merchandise to Globus in 2010. </w:t>
      </w:r>
    </w:p>
    <w:p w:rsidR="00000000" w:rsidRDefault="003E5AFF">
      <w:pPr>
        <w:pStyle w:val="NormalWeb"/>
        <w:spacing w:before="120" w:beforeAutospacing="0" w:after="0" w:afterAutospacing="0"/>
      </w:pPr>
      <w:r>
        <w:rPr>
          <w:rFonts w:ascii="Arial" w:hAnsi="Arial" w:cs="Arial"/>
        </w:rPr>
        <w:t>In addition, we lease space in various of our shopping centers in Chile to Importadora Y Comercia</w:t>
      </w:r>
      <w:r>
        <w:rPr>
          <w:rFonts w:ascii="Arial" w:hAnsi="Arial" w:cs="Arial"/>
        </w:rPr>
        <w:t>l Regen Ltda. (_Importadora_), a Chilean retailer of imported toys controlled by Peter Paulmann Koepfer, one of our directors. Lease payments during the three months ended March 31, 2012 amounted Ch$ 30 millions and in 2011, 2010 and 2009 amounted to Ch$10</w:t>
      </w:r>
      <w:r>
        <w:rPr>
          <w:rFonts w:ascii="Arial" w:hAnsi="Arial" w:cs="Arial"/>
        </w:rPr>
        <w:t>6 million, Ch$98 million and Ch$102 million, respectively. We also purchased general merchandise from Importadora Y Comercial Regen Ltda. during the first three month of 2012 in the amount of Ch$ 91 millions and in the amount of Ch$520 million, Ch$387 mill</w:t>
      </w:r>
      <w:r>
        <w:rPr>
          <w:rFonts w:ascii="Arial" w:hAnsi="Arial" w:cs="Arial"/>
        </w:rPr>
        <w:t xml:space="preserve">ion and Ch$398 million for the years 2011, 2010 and 2009 respectively. </w:t>
      </w:r>
    </w:p>
    <w:p w:rsidR="00000000" w:rsidRDefault="003E5AFF">
      <w:pPr>
        <w:pStyle w:val="NormalWeb"/>
        <w:spacing w:before="120" w:beforeAutospacing="0" w:after="0" w:afterAutospacing="0"/>
      </w:pPr>
      <w:r>
        <w:rPr>
          <w:rFonts w:ascii="Arial" w:hAnsi="Arial" w:cs="Arial"/>
        </w:rPr>
        <w:t xml:space="preserve">The above described transactions were entered into pursuant to our Bylaws and applicable Chilean laws and regulations. </w:t>
      </w:r>
    </w:p>
    <w:p w:rsidR="00000000" w:rsidRDefault="003E5AFF">
      <w:pPr>
        <w:pStyle w:val="NormalWeb"/>
        <w:spacing w:before="120" w:beforeAutospacing="0" w:after="0" w:afterAutospacing="0"/>
      </w:pPr>
      <w:r>
        <w:rPr>
          <w:rFonts w:ascii="Arial" w:hAnsi="Arial" w:cs="Arial"/>
        </w:rPr>
        <w:t>For information concerning other transactions, see Note 9 to our</w:t>
      </w:r>
      <w:r>
        <w:rPr>
          <w:rFonts w:ascii="Arial" w:hAnsi="Arial" w:cs="Arial"/>
        </w:rPr>
        <w:t xml:space="preserve"> Audited Consolidated Financial Statements.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- 239 - </w:t>
      </w:r>
    </w:p>
    <w:p w:rsidR="00000000" w:rsidRDefault="003E5AFF">
      <w:pPr>
        <w:rPr>
          <w:rFonts w:eastAsia="Times New Roman" w:cs="Times New Roman"/>
        </w:rPr>
      </w:pPr>
      <w:r>
        <w:rPr>
          <w:rFonts w:eastAsia="Times New Roman" w:cs="Times New Roman"/>
        </w:rPr>
        <w:pict>
          <v:rect id="_x0000_i1276" style="width:441.9pt;height:3pt" o:hralign="center" o:hrstd="t" o:hrnoshade="t" o:hr="t" fillcolor="#999" stroked="f"/>
        </w:pict>
      </w:r>
    </w:p>
    <w:p w:rsidR="00000000" w:rsidRDefault="003E5AFF">
      <w:pPr>
        <w:pStyle w:val="Heading5"/>
        <w:rPr>
          <w:rFonts w:eastAsia="Times New Roman" w:cs="Times New Roman"/>
        </w:rPr>
      </w:pPr>
      <w:hyperlink r:id="rId29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25" w:name="rom343004_24"/>
      <w:bookmarkEnd w:id="25"/>
      <w:r>
        <w:rPr>
          <w:rFonts w:ascii="Arial" w:hAnsi="Arial" w:cs="Arial"/>
          <w:b/>
          <w:bCs/>
          <w:sz w:val="36"/>
          <w:szCs w:val="36"/>
        </w:rPr>
        <w:t xml:space="preserve">Description of share capital </w:t>
      </w:r>
    </w:p>
    <w:p w:rsidR="00000000" w:rsidRDefault="003E5AFF">
      <w:pPr>
        <w:pStyle w:val="NormalWeb"/>
        <w:spacing w:before="120" w:beforeAutospacing="0" w:after="0" w:afterAutospacing="0"/>
      </w:pPr>
      <w:r>
        <w:rPr>
          <w:rFonts w:ascii="Arial" w:hAnsi="Arial" w:cs="Arial"/>
        </w:rPr>
        <w:t>Set forth below is material information concerning our share capi</w:t>
      </w:r>
      <w:r>
        <w:rPr>
          <w:rFonts w:ascii="Arial" w:hAnsi="Arial" w:cs="Arial"/>
        </w:rPr>
        <w:t>tal and a brief summary of the significant provisions of our Bylaws and Chilean law. As explained above, our Bylaws effectively serve the purpose of both the articles or certificate of incorporation and the bylaws of a company incorporated in the United St</w:t>
      </w:r>
      <w:r>
        <w:rPr>
          <w:rFonts w:ascii="Arial" w:hAnsi="Arial" w:cs="Arial"/>
        </w:rPr>
        <w:t>ates. This description contains all material information concerning shares of our common stock, including summaries of certain provisions of our Bylaws and applicable Chilean law in effect on the date of this prospectus. They do not, however, describe ever</w:t>
      </w:r>
      <w:r>
        <w:rPr>
          <w:rFonts w:ascii="Arial" w:hAnsi="Arial" w:cs="Arial"/>
        </w:rPr>
        <w:t xml:space="preserve">y aspect of our shares of common stock, our Bylaws or Chilean law. You are encouraged to review our </w:t>
      </w:r>
      <w:r>
        <w:rPr>
          <w:rFonts w:ascii="Arial" w:hAnsi="Arial" w:cs="Arial"/>
          <w:i/>
          <w:iCs/>
        </w:rPr>
        <w:t>estatutos</w:t>
      </w:r>
      <w:r>
        <w:rPr>
          <w:rFonts w:ascii="Arial" w:hAnsi="Arial" w:cs="Arial"/>
        </w:rPr>
        <w:t xml:space="preserve"> (an English translation of which has been filed as an exhibit to the registration statement of which this document forms a part), the Chilean Corp</w:t>
      </w:r>
      <w:r>
        <w:rPr>
          <w:rFonts w:ascii="Arial" w:hAnsi="Arial" w:cs="Arial"/>
        </w:rPr>
        <w:t xml:space="preserve">orations Law and the Securities Market Law, each referred to below. </w:t>
      </w:r>
    </w:p>
    <w:p w:rsidR="00000000" w:rsidRDefault="003E5AFF">
      <w:pPr>
        <w:pStyle w:val="NormalWeb"/>
        <w:spacing w:before="120" w:beforeAutospacing="0" w:after="0" w:afterAutospacing="0"/>
      </w:pPr>
      <w:r>
        <w:rPr>
          <w:rFonts w:ascii="Arial" w:hAnsi="Arial" w:cs="Arial"/>
        </w:rPr>
        <w:t>For more information regarding our share capitalization, see _Principal Shareholders,_ elsewhere in this prospectus. There were 2,264,103,215 shares of our common stock, no par value, iss</w:t>
      </w:r>
      <w:r>
        <w:rPr>
          <w:rFonts w:ascii="Arial" w:hAnsi="Arial" w:cs="Arial"/>
        </w:rPr>
        <w:t>ued and outstanding as of the date of this offering. Following the capital increase of 270,000,000 shares of our common stock approved by our shareholders on April 29, 2011, the aggregate number of our authorized shares will be 2,574,015,016 shares includi</w:t>
      </w:r>
      <w:r>
        <w:rPr>
          <w:rFonts w:ascii="Arial" w:hAnsi="Arial" w:cs="Arial"/>
        </w:rPr>
        <w:t xml:space="preserve">ng 39,911,801 treasury shares. </w:t>
      </w:r>
    </w:p>
    <w:p w:rsidR="00000000" w:rsidRDefault="003E5AFF">
      <w:pPr>
        <w:pStyle w:val="NormalWeb"/>
        <w:spacing w:before="240" w:beforeAutospacing="0" w:after="0" w:afterAutospacing="0"/>
      </w:pPr>
      <w:r>
        <w:rPr>
          <w:rFonts w:ascii="Arial" w:hAnsi="Arial" w:cs="Arial"/>
          <w:b/>
          <w:bCs/>
          <w:sz w:val="24"/>
          <w:szCs w:val="24"/>
        </w:rPr>
        <w:t xml:space="preserve">Memorandum and articles of association </w:t>
      </w:r>
    </w:p>
    <w:p w:rsidR="00000000" w:rsidRDefault="003E5AFF">
      <w:pPr>
        <w:pStyle w:val="NormalWeb"/>
        <w:spacing w:before="120" w:beforeAutospacing="0" w:after="0" w:afterAutospacing="0"/>
      </w:pPr>
      <w:r>
        <w:rPr>
          <w:rFonts w:ascii="Arial" w:hAnsi="Arial" w:cs="Arial"/>
        </w:rPr>
        <w:t xml:space="preserve">Set forth below is certain information concerning Cencosud S.A._s capital stock and a brief summary of certain significant provisions of our Bylaws and Chilean law. You are encouraged </w:t>
      </w:r>
      <w:r>
        <w:rPr>
          <w:rFonts w:ascii="Arial" w:hAnsi="Arial" w:cs="Arial"/>
        </w:rPr>
        <w:t xml:space="preserve">to review our Bylaws, which are filed as Exhibit 3.1 of this prospectus. </w:t>
      </w:r>
    </w:p>
    <w:p w:rsidR="00000000" w:rsidRDefault="003E5AFF">
      <w:pPr>
        <w:pStyle w:val="NormalWeb"/>
        <w:spacing w:before="240" w:beforeAutospacing="0" w:after="0" w:afterAutospacing="0"/>
      </w:pPr>
      <w:r>
        <w:rPr>
          <w:rFonts w:ascii="Arial" w:hAnsi="Arial" w:cs="Arial"/>
          <w:b/>
          <w:bCs/>
          <w:sz w:val="24"/>
          <w:szCs w:val="24"/>
        </w:rPr>
        <w:t xml:space="preserve">Organization and register </w:t>
      </w:r>
    </w:p>
    <w:p w:rsidR="00000000" w:rsidRDefault="003E5AFF">
      <w:pPr>
        <w:pStyle w:val="NormalWeb"/>
        <w:spacing w:before="120" w:beforeAutospacing="0" w:after="0" w:afterAutospacing="0"/>
      </w:pPr>
      <w:r>
        <w:rPr>
          <w:rFonts w:ascii="Arial" w:hAnsi="Arial" w:cs="Arial"/>
        </w:rPr>
        <w:t>We are a publicly-held stock corporation (</w:t>
      </w:r>
      <w:r>
        <w:rPr>
          <w:rFonts w:ascii="Arial" w:hAnsi="Arial" w:cs="Arial"/>
          <w:i/>
          <w:iCs/>
        </w:rPr>
        <w:t>sociedad an_nima abierta</w:t>
      </w:r>
      <w:r>
        <w:rPr>
          <w:rFonts w:ascii="Arial" w:hAnsi="Arial" w:cs="Arial"/>
        </w:rPr>
        <w:t>) organized under the laws of Chile and have an indefinite corporate duration. We were in</w:t>
      </w:r>
      <w:r>
        <w:rPr>
          <w:rFonts w:ascii="Arial" w:hAnsi="Arial" w:cs="Arial"/>
        </w:rPr>
        <w:t xml:space="preserve">corporated by a public deed dated November 10, 1978. This abstract is recorded on page 13808 No. 7412 of the </w:t>
      </w:r>
      <w:r>
        <w:rPr>
          <w:rFonts w:ascii="Arial" w:hAnsi="Arial" w:cs="Arial"/>
          <w:i/>
          <w:iCs/>
        </w:rPr>
        <w:t>Registro de Comercio de Santiago</w:t>
      </w:r>
      <w:r>
        <w:rPr>
          <w:rFonts w:ascii="Arial" w:hAnsi="Arial" w:cs="Arial"/>
        </w:rPr>
        <w:t xml:space="preserve"> (Commercial Registry of Santiago) for the year 1978. Our corporate purpose, as stated in our Bylaws, is broadly de</w:t>
      </w:r>
      <w:r>
        <w:rPr>
          <w:rFonts w:ascii="Arial" w:hAnsi="Arial" w:cs="Arial"/>
        </w:rPr>
        <w:t xml:space="preserve">fined to include the purchase, sale, distribution and marketing of goods, as more fully set forth in our Bylaws. </w:t>
      </w:r>
    </w:p>
    <w:p w:rsidR="00000000" w:rsidRDefault="003E5AFF">
      <w:pPr>
        <w:pStyle w:val="NormalWeb"/>
        <w:spacing w:before="240" w:beforeAutospacing="0" w:after="0" w:afterAutospacing="0"/>
      </w:pPr>
      <w:r>
        <w:rPr>
          <w:rFonts w:ascii="Arial" w:hAnsi="Arial" w:cs="Arial"/>
          <w:b/>
          <w:bCs/>
          <w:sz w:val="24"/>
          <w:szCs w:val="24"/>
        </w:rPr>
        <w:t xml:space="preserve">Shareholder rights </w:t>
      </w:r>
    </w:p>
    <w:p w:rsidR="00000000" w:rsidRDefault="003E5AFF">
      <w:pPr>
        <w:pStyle w:val="NormalWeb"/>
        <w:spacing w:before="120" w:beforeAutospacing="0" w:after="0" w:afterAutospacing="0"/>
      </w:pPr>
      <w:r>
        <w:rPr>
          <w:rFonts w:ascii="Arial" w:hAnsi="Arial" w:cs="Arial"/>
        </w:rPr>
        <w:t xml:space="preserve">Shareholder rights in Chilean companies are governed generally by a company_s bylaws (which effectively serve the purpose </w:t>
      </w:r>
      <w:r>
        <w:rPr>
          <w:rFonts w:ascii="Arial" w:hAnsi="Arial" w:cs="Arial"/>
        </w:rPr>
        <w:t xml:space="preserve">of both the articles, or certificate, of incorporation, and the bylaws of a United States company). Additionally, the Chilean Corporations Law governs the operation of Chilean stock corporations and provides for certain shareholder rights. </w:t>
      </w:r>
    </w:p>
    <w:p w:rsidR="00000000" w:rsidRDefault="003E5AFF">
      <w:pPr>
        <w:pStyle w:val="NormalWeb"/>
        <w:spacing w:before="120" w:beforeAutospacing="0" w:after="0" w:afterAutospacing="0"/>
      </w:pPr>
      <w:r>
        <w:rPr>
          <w:rFonts w:ascii="Arial" w:hAnsi="Arial" w:cs="Arial"/>
        </w:rPr>
        <w:t>Shareholder rig</w:t>
      </w:r>
      <w:r>
        <w:rPr>
          <w:rFonts w:ascii="Arial" w:hAnsi="Arial" w:cs="Arial"/>
        </w:rPr>
        <w:t>hts can be amended through an agreement adopted in an extraordinary shareholders meeting, which shall subsequently agree upon the corresponding amendment to the bylaws. However, there are certain provisions of Chilean law that cannot be waived by the share</w:t>
      </w:r>
      <w:r>
        <w:rPr>
          <w:rFonts w:ascii="Arial" w:hAnsi="Arial" w:cs="Arial"/>
        </w:rPr>
        <w:t xml:space="preserve">holders, such as the legal formalities prescribed by the Chilean Corporations Law for the organization and validity of a corporation or for the amendment of its bylaws; provisions dealing with the protection of minority shareholders, including the minimum </w:t>
      </w:r>
      <w:r>
        <w:rPr>
          <w:rFonts w:ascii="Arial" w:hAnsi="Arial" w:cs="Arial"/>
        </w:rPr>
        <w:t xml:space="preserve">number of board members, the existence of a committee of directors, the list of matters that shareholders may decide upon in an ordinary and/or extraordinary shareholders meeting of the company, the quorum required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- 240 - </w:t>
      </w:r>
    </w:p>
    <w:p w:rsidR="00000000" w:rsidRDefault="003E5AFF">
      <w:pPr>
        <w:rPr>
          <w:rFonts w:eastAsia="Times New Roman" w:cs="Times New Roman"/>
        </w:rPr>
      </w:pPr>
      <w:r>
        <w:rPr>
          <w:rFonts w:eastAsia="Times New Roman" w:cs="Times New Roman"/>
        </w:rPr>
        <w:pict>
          <v:rect id="_x0000_i1277" style="width:441.9pt;height:3pt" o:hralign="center" o:hrstd="t" o:hrnoshade="t" o:hr="t" fillcolor="#999" stroked="f"/>
        </w:pict>
      </w:r>
    </w:p>
    <w:p w:rsidR="00000000" w:rsidRDefault="003E5AFF">
      <w:pPr>
        <w:pStyle w:val="Heading5"/>
        <w:rPr>
          <w:rFonts w:eastAsia="Times New Roman" w:cs="Times New Roman"/>
        </w:rPr>
      </w:pPr>
      <w:hyperlink r:id="rId29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for the approval of certain supermajority matters; and other public policy provisions, such as the rules for the liquidation of a company, tender offer rules and, generally, all securities market regulations. </w:t>
      </w:r>
    </w:p>
    <w:p w:rsidR="00000000" w:rsidRDefault="003E5AFF">
      <w:pPr>
        <w:pStyle w:val="NormalWeb"/>
        <w:spacing w:before="120" w:beforeAutospacing="0" w:after="0" w:afterAutospacing="0"/>
      </w:pPr>
      <w:r>
        <w:rPr>
          <w:rFonts w:ascii="Arial" w:hAnsi="Arial" w:cs="Arial"/>
        </w:rPr>
        <w:t>The Chilean securities markets are principally</w:t>
      </w:r>
      <w:r>
        <w:rPr>
          <w:rFonts w:ascii="Arial" w:hAnsi="Arial" w:cs="Arial"/>
        </w:rPr>
        <w:t xml:space="preserve"> regulated by the </w:t>
      </w:r>
      <w:r>
        <w:rPr>
          <w:rFonts w:ascii="Arial" w:hAnsi="Arial" w:cs="Arial"/>
          <w:i/>
          <w:iCs/>
        </w:rPr>
        <w:t>Superintendencia de Valores y Seguros</w:t>
      </w:r>
      <w:r>
        <w:rPr>
          <w:rFonts w:ascii="Arial" w:hAnsi="Arial" w:cs="Arial"/>
        </w:rPr>
        <w:t xml:space="preserve"> (the Chilean Securities and Insurance Commission) (_SVS_) under the Securities Market Law and the Chilean Corporations Law. These two laws provide for disclosure requirements, restrictions on insider </w:t>
      </w:r>
      <w:r>
        <w:rPr>
          <w:rFonts w:ascii="Arial" w:hAnsi="Arial" w:cs="Arial"/>
        </w:rPr>
        <w:t xml:space="preserve">trading and price manipulation, and protection of minority investors. The Chilean Corporations Law clarifies rules and requirements for establishing publicly-held stock corporations while eliminating government supervision of privately-held companies. The </w:t>
      </w:r>
      <w:r>
        <w:rPr>
          <w:rFonts w:ascii="Arial" w:hAnsi="Arial" w:cs="Arial"/>
        </w:rPr>
        <w:t xml:space="preserve">Securities Market Law establishes requirements for public offerings, stock exchanges and brokers, and outlines disclosure requirements for companies that issue publicly offered securities. </w:t>
      </w:r>
    </w:p>
    <w:p w:rsidR="00000000" w:rsidRDefault="003E5AFF">
      <w:pPr>
        <w:pStyle w:val="NormalWeb"/>
        <w:spacing w:before="120" w:beforeAutospacing="0" w:after="0" w:afterAutospacing="0"/>
      </w:pPr>
      <w:r>
        <w:rPr>
          <w:rFonts w:ascii="Arial" w:hAnsi="Arial" w:cs="Arial"/>
        </w:rPr>
        <w:t>Under Articles 12 and 54 and Title XV of the Securities Market Law</w:t>
      </w:r>
      <w:r>
        <w:rPr>
          <w:rFonts w:ascii="Arial" w:hAnsi="Arial" w:cs="Arial"/>
        </w:rPr>
        <w:t>, certain information regarding transactions in shares of publicly-held corporations must be reported to the SVS and the Chilean exchanges on which such shares are listed. Holders of shares of publicly-held corporations are required to report to the SVS an</w:t>
      </w:r>
      <w:r>
        <w:rPr>
          <w:rFonts w:ascii="Arial" w:hAnsi="Arial" w:cs="Arial"/>
        </w:rPr>
        <w:t xml:space="preserve">d the Chilean exchanges: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any acquisition or sale of shares that results in the holder_s acquiring or disposing of 10% or more of the corporation_s capital;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any acquisition or sale of shares or options to buy or sell shares, in any amount, if made by a holder of 10% or more of the corporation_s capital or if made by a director, liquidator, main officer, general manager or manager of such corporation.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In addition, majority shareholders must include in their report whether their purpose is to acquire control of the company or if they are making a financial investment. A beneficial owner of ADSs representing 10.0% or more of our share capital will be</w:t>
            </w:r>
            <w:r>
              <w:rPr>
                <w:rFonts w:ascii="Arial" w:hAnsi="Arial" w:cs="Arial"/>
              </w:rPr>
              <w:t xml:space="preserve"> subject to these reporting requirements under Chilean law. </w:t>
            </w:r>
          </w:p>
        </w:tc>
      </w:tr>
    </w:tbl>
    <w:p w:rsidR="00000000" w:rsidRDefault="003E5AFF">
      <w:pPr>
        <w:pStyle w:val="NormalWeb"/>
        <w:spacing w:before="120" w:beforeAutospacing="0" w:after="0" w:afterAutospacing="0"/>
      </w:pPr>
      <w:r>
        <w:rPr>
          <w:rFonts w:ascii="Arial" w:hAnsi="Arial" w:cs="Arial"/>
        </w:rPr>
        <w:t>Persons or entities intending to acquire control of a publicly-held corporation, through means other than through a tender offer (</w:t>
      </w:r>
      <w:r>
        <w:rPr>
          <w:rFonts w:ascii="Arial" w:hAnsi="Arial" w:cs="Arial"/>
          <w:i/>
          <w:iCs/>
        </w:rPr>
        <w:t>oferta p_blica de adquisici_n de acciones</w:t>
      </w:r>
      <w:r>
        <w:rPr>
          <w:rFonts w:ascii="Arial" w:hAnsi="Arial" w:cs="Arial"/>
        </w:rPr>
        <w:t xml:space="preserve">), are also required to </w:t>
      </w:r>
      <w:r>
        <w:rPr>
          <w:rFonts w:ascii="Arial" w:hAnsi="Arial" w:cs="Arial"/>
        </w:rPr>
        <w:t>inform the public of such acquisition at least 10 business days before the date on which the transaction is to be completed, but in any case, as soon as negotiations regarding the change of control begin (i.e., when information and documents concerning the</w:t>
      </w:r>
      <w:r>
        <w:rPr>
          <w:rFonts w:ascii="Arial" w:hAnsi="Arial" w:cs="Arial"/>
        </w:rPr>
        <w:t xml:space="preserve"> target are delivered to the potential acquirer) through a notice published in two Chilean newspapers, which must disclose, among other information, the person or entity purchasing or selling and the price and conditions of any negotiations. Prior to such </w:t>
      </w:r>
      <w:r>
        <w:rPr>
          <w:rFonts w:ascii="Arial" w:hAnsi="Arial" w:cs="Arial"/>
        </w:rPr>
        <w:t xml:space="preserve">publication, a written communication to such effect must be sent to the SVS and the Chilean exchanges. </w:t>
      </w:r>
    </w:p>
    <w:p w:rsidR="00000000" w:rsidRDefault="003E5AFF">
      <w:pPr>
        <w:pStyle w:val="NormalWeb"/>
        <w:spacing w:before="120" w:beforeAutospacing="0" w:after="0" w:afterAutospacing="0"/>
      </w:pPr>
      <w:r>
        <w:rPr>
          <w:rFonts w:ascii="Arial" w:hAnsi="Arial" w:cs="Arial"/>
        </w:rPr>
        <w:t>In addition to the foregoing, Article 54A of the Chilean Securities Market Law requires that within two business days of the completion of the transacti</w:t>
      </w:r>
      <w:r>
        <w:rPr>
          <w:rFonts w:ascii="Arial" w:hAnsi="Arial" w:cs="Arial"/>
        </w:rPr>
        <w:t>ons pursuant to which a person has acquired control of a publicly traded company, a notice shall be published in the same newspapers in which the notice referred to above was published and notices shall be sent to the same persons mentioned in the precedin</w:t>
      </w:r>
      <w:r>
        <w:rPr>
          <w:rFonts w:ascii="Arial" w:hAnsi="Arial" w:cs="Arial"/>
        </w:rPr>
        <w:t xml:space="preserve">g paragraphs. </w:t>
      </w:r>
    </w:p>
    <w:p w:rsidR="00000000" w:rsidRDefault="003E5AFF">
      <w:pPr>
        <w:pStyle w:val="NormalWeb"/>
        <w:spacing w:before="120" w:beforeAutospacing="0" w:after="0" w:afterAutospacing="0"/>
      </w:pPr>
      <w:r>
        <w:rPr>
          <w:rFonts w:ascii="Arial" w:hAnsi="Arial" w:cs="Arial"/>
        </w:rPr>
        <w:t>Chilean law does not contain any provision that discriminates against shareholders or prospective shareholders who own a substantial number of shares. However, a special public offering procedure applies should the controlling shareholder of</w:t>
      </w:r>
      <w:r>
        <w:rPr>
          <w:rFonts w:ascii="Arial" w:hAnsi="Arial" w:cs="Arial"/>
        </w:rPr>
        <w:t xml:space="preserve"> a company decide to increase its stock in the company, according to which the offer must be made to all shareholders on a pro rata basis in proportion to their respective stock.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- 241 - </w:t>
      </w:r>
    </w:p>
    <w:p w:rsidR="00000000" w:rsidRDefault="003E5AFF">
      <w:pPr>
        <w:rPr>
          <w:rFonts w:eastAsia="Times New Roman" w:cs="Times New Roman"/>
        </w:rPr>
      </w:pPr>
      <w:r>
        <w:rPr>
          <w:rFonts w:eastAsia="Times New Roman" w:cs="Times New Roman"/>
        </w:rPr>
        <w:pict>
          <v:rect id="_x0000_i1278" style="width:441.9pt;height:3pt" o:hralign="center" o:hrstd="t" o:hrnoshade="t" o:hr="t" fillcolor="#999" stroked="f"/>
        </w:pict>
      </w:r>
    </w:p>
    <w:p w:rsidR="00000000" w:rsidRDefault="003E5AFF">
      <w:pPr>
        <w:pStyle w:val="Heading5"/>
        <w:rPr>
          <w:rFonts w:eastAsia="Times New Roman" w:cs="Times New Roman"/>
        </w:rPr>
      </w:pPr>
      <w:hyperlink r:id="rId29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Capitalization </w:t>
      </w:r>
    </w:p>
    <w:p w:rsidR="00000000" w:rsidRDefault="003E5AFF">
      <w:pPr>
        <w:pStyle w:val="NormalWeb"/>
        <w:spacing w:before="120" w:beforeAutospacing="0" w:after="0" w:afterAutospacing="0"/>
      </w:pPr>
      <w:r>
        <w:rPr>
          <w:rFonts w:ascii="Arial" w:hAnsi="Arial" w:cs="Arial"/>
        </w:rPr>
        <w:t xml:space="preserve">Under Chilean law, a corporation increases its capital as soon as the shareholders authorize both the capital increase </w:t>
      </w:r>
      <w:r>
        <w:rPr>
          <w:rFonts w:ascii="Arial" w:hAnsi="Arial" w:cs="Arial"/>
        </w:rPr>
        <w:t xml:space="preserve">and the issuance of new stock, provided that the minutes of the corresponding shareholders meeting are put into a public deed, and an abstract of said deed is published in the Official Gazette and registered in the Commercial Registry corresponding to the </w:t>
      </w:r>
      <w:r>
        <w:rPr>
          <w:rFonts w:ascii="Arial" w:hAnsi="Arial" w:cs="Arial"/>
        </w:rPr>
        <w:t>company_s domicile. In addition, in the case of publicly-held stock corporations, the new shares must be registered in the Securities Registry of the SVS before they may be offered to the public. When a shareholder subscribes for shares, the shares are tra</w:t>
      </w:r>
      <w:r>
        <w:rPr>
          <w:rFonts w:ascii="Arial" w:hAnsi="Arial" w:cs="Arial"/>
        </w:rPr>
        <w:t>nsferred to such shareholder_s name, and the shareholder is treated as a shareholder for all purposes, except receipt of dividends in the proportion corresponding to the unpaid price of such shares, unless otherwise stipulated in the bylaws of the corporat</w:t>
      </w:r>
      <w:r>
        <w:rPr>
          <w:rFonts w:ascii="Arial" w:hAnsi="Arial" w:cs="Arial"/>
        </w:rPr>
        <w:t>ion. The shareholder becomes eligible to receive dividends once such shareholder has paid for the shares. If a shareholder does not pay for shares for which such shareholder has subscribed on or prior to the date agreed upon for payment, the corporation is</w:t>
      </w:r>
      <w:r>
        <w:rPr>
          <w:rFonts w:ascii="Arial" w:hAnsi="Arial" w:cs="Arial"/>
        </w:rPr>
        <w:t xml:space="preserve"> entitled to auction the shares on the stock exchange, and has a cause of action against the shareholder for the difference between the subscription price and the price received at auction. However, until such shares are sold at auction, the shareholder co</w:t>
      </w:r>
      <w:r>
        <w:rPr>
          <w:rFonts w:ascii="Arial" w:hAnsi="Arial" w:cs="Arial"/>
        </w:rPr>
        <w:t>ntinues to exercise all the rights of a shareholder (except the right to receive dividends). Authorized shares which have not been paid for within the period ending three years from the date when the capital increase agreement was made at the shareholders_</w:t>
      </w:r>
      <w:r>
        <w:rPr>
          <w:rFonts w:ascii="Arial" w:hAnsi="Arial" w:cs="Arial"/>
        </w:rPr>
        <w:t xml:space="preserve"> meeting, are deemed cancelled under Chilean law and are no longer available for sale by the Chilean corporation. At that time, the capital of the corporation is automatically reduced to the amount effectively paid within such period. </w:t>
      </w:r>
    </w:p>
    <w:p w:rsidR="00000000" w:rsidRDefault="003E5AFF">
      <w:pPr>
        <w:pStyle w:val="NormalWeb"/>
        <w:spacing w:before="120" w:beforeAutospacing="0" w:after="0" w:afterAutospacing="0"/>
      </w:pPr>
      <w:r>
        <w:rPr>
          <w:rFonts w:ascii="Arial" w:hAnsi="Arial" w:cs="Arial"/>
        </w:rPr>
        <w:t>The Bylaws authorize</w:t>
      </w:r>
      <w:r>
        <w:rPr>
          <w:rFonts w:ascii="Arial" w:hAnsi="Arial" w:cs="Arial"/>
        </w:rPr>
        <w:t xml:space="preserve"> a single series of common stock, without par value. </w:t>
      </w:r>
    </w:p>
    <w:p w:rsidR="00000000" w:rsidRDefault="003E5AFF">
      <w:pPr>
        <w:pStyle w:val="NormalWeb"/>
        <w:spacing w:before="240" w:beforeAutospacing="0" w:after="0" w:afterAutospacing="0"/>
      </w:pPr>
      <w:r>
        <w:rPr>
          <w:rFonts w:ascii="Arial" w:hAnsi="Arial" w:cs="Arial"/>
          <w:b/>
          <w:bCs/>
          <w:sz w:val="24"/>
          <w:szCs w:val="24"/>
        </w:rPr>
        <w:t xml:space="preserve">Director requirements </w:t>
      </w:r>
    </w:p>
    <w:p w:rsidR="00000000" w:rsidRDefault="003E5AFF">
      <w:pPr>
        <w:pStyle w:val="NormalWeb"/>
        <w:spacing w:before="120" w:beforeAutospacing="0" w:after="0" w:afterAutospacing="0"/>
      </w:pPr>
      <w:r>
        <w:rPr>
          <w:rFonts w:ascii="Arial" w:hAnsi="Arial" w:cs="Arial"/>
        </w:rPr>
        <w:t xml:space="preserve">Our Bylaws require the board to consist of nine directors. The entire board is elected every three years. There is no requirement that a director be a shareholder of our Company. </w:t>
      </w:r>
    </w:p>
    <w:p w:rsidR="00000000" w:rsidRDefault="003E5AFF">
      <w:pPr>
        <w:pStyle w:val="NormalWeb"/>
        <w:spacing w:before="120" w:beforeAutospacing="0" w:after="0" w:afterAutospacing="0"/>
      </w:pPr>
      <w:r>
        <w:rPr>
          <w:rFonts w:ascii="Arial" w:hAnsi="Arial" w:cs="Arial"/>
        </w:rPr>
        <w:t xml:space="preserve">Our Bylaws do not contain any provision regarding a mandatory retirement age for directors, nor does Chilean law contain any provision in this respect. </w:t>
      </w:r>
    </w:p>
    <w:p w:rsidR="00000000" w:rsidRDefault="003E5AFF">
      <w:pPr>
        <w:pStyle w:val="NormalWeb"/>
        <w:spacing w:before="120" w:beforeAutospacing="0" w:after="0" w:afterAutospacing="0"/>
      </w:pPr>
      <w:r>
        <w:rPr>
          <w:rFonts w:ascii="Arial" w:hAnsi="Arial" w:cs="Arial"/>
        </w:rPr>
        <w:t>According to Chilean Corporations Law, a publicly-held stock corporation (sociedad an_nima abierta) ca</w:t>
      </w:r>
      <w:r>
        <w:rPr>
          <w:rFonts w:ascii="Arial" w:hAnsi="Arial" w:cs="Arial"/>
        </w:rPr>
        <w:t xml:space="preserve">n only execute a transaction with a related party whenever such transaction is for the benefit of the corporation, and conforms to price terms and conditions prevailing in the market at the time of its approval. </w:t>
      </w:r>
    </w:p>
    <w:p w:rsidR="00000000" w:rsidRDefault="003E5AFF">
      <w:pPr>
        <w:pStyle w:val="NormalWeb"/>
        <w:spacing w:before="120" w:beforeAutospacing="0" w:after="0" w:afterAutospacing="0"/>
      </w:pPr>
      <w:r>
        <w:rPr>
          <w:rFonts w:ascii="Arial" w:hAnsi="Arial" w:cs="Arial"/>
        </w:rPr>
        <w:t>Directors, managers, administrators, main e</w:t>
      </w:r>
      <w:r>
        <w:rPr>
          <w:rFonts w:ascii="Arial" w:hAnsi="Arial" w:cs="Arial"/>
        </w:rPr>
        <w:t>xecutives or liquidators who have an interest in a related party transaction must immediately inform the board of directors or its proxy of such interest and the transaction must first be approved in accordance with the procedures described below. Non-comp</w:t>
      </w:r>
      <w:r>
        <w:rPr>
          <w:rFonts w:ascii="Arial" w:hAnsi="Arial" w:cs="Arial"/>
        </w:rPr>
        <w:t xml:space="preserve">liance with these requirements will result in joint and several liability for the damages the transaction causes to both the corporation and its shareholders. </w:t>
      </w:r>
    </w:p>
    <w:p w:rsidR="00000000" w:rsidRDefault="003E5AFF">
      <w:pPr>
        <w:pStyle w:val="NormalWeb"/>
        <w:spacing w:before="120" w:beforeAutospacing="0" w:after="0" w:afterAutospacing="0"/>
      </w:pPr>
      <w:r>
        <w:rPr>
          <w:rFonts w:ascii="Arial" w:hAnsi="Arial" w:cs="Arial"/>
        </w:rPr>
        <w:t>If the transaction involves a relevant amount (more than 1% of the company_s equity, provided su</w:t>
      </w:r>
      <w:r>
        <w:rPr>
          <w:rFonts w:ascii="Arial" w:hAnsi="Arial" w:cs="Arial"/>
        </w:rPr>
        <w:t>ch transaction exceeds the equivalent of 2,000 UF, or in any case if it exceeds the equivalent to 20,000 UF) and the board of directors is not able to determine if it is an arm_s-length transaction, the Board may approve or reject the execution of the tran</w:t>
      </w:r>
      <w:r>
        <w:rPr>
          <w:rFonts w:ascii="Arial" w:hAnsi="Arial" w:cs="Arial"/>
        </w:rPr>
        <w:t xml:space="preserve">saction, with the abstention of the interested director, or appoint two independent evaluators.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- 242 - </w:t>
      </w:r>
    </w:p>
    <w:p w:rsidR="00000000" w:rsidRDefault="003E5AFF">
      <w:pPr>
        <w:rPr>
          <w:rFonts w:eastAsia="Times New Roman" w:cs="Times New Roman"/>
        </w:rPr>
      </w:pPr>
      <w:r>
        <w:rPr>
          <w:rFonts w:eastAsia="Times New Roman" w:cs="Times New Roman"/>
        </w:rPr>
        <w:pict>
          <v:rect id="_x0000_i1279" style="width:441.9pt;height:3pt" o:hralign="center" o:hrstd="t" o:hrnoshade="t" o:hr="t" fillcolor="#999" stroked="f"/>
        </w:pict>
      </w:r>
    </w:p>
    <w:p w:rsidR="00000000" w:rsidRDefault="003E5AFF">
      <w:pPr>
        <w:pStyle w:val="Heading5"/>
        <w:rPr>
          <w:rFonts w:eastAsia="Times New Roman" w:cs="Times New Roman"/>
        </w:rPr>
      </w:pPr>
      <w:hyperlink r:id="rId29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If the board of directors approves the transaction, the relevant resolution will be disclosed in the subsequent shareholders_ meeting. The resolution should expressly enumerate the directors that approved the op</w:t>
      </w:r>
      <w:r>
        <w:rPr>
          <w:rFonts w:ascii="Arial" w:hAnsi="Arial" w:cs="Arial"/>
        </w:rPr>
        <w:t xml:space="preserve">eration. </w:t>
      </w:r>
    </w:p>
    <w:p w:rsidR="00000000" w:rsidRDefault="003E5AFF">
      <w:pPr>
        <w:pStyle w:val="NormalWeb"/>
        <w:spacing w:before="120" w:beforeAutospacing="0" w:after="0" w:afterAutospacing="0"/>
      </w:pPr>
      <w:r>
        <w:rPr>
          <w:rFonts w:ascii="Arial" w:hAnsi="Arial" w:cs="Arial"/>
        </w:rPr>
        <w:t>Alternatively, in the case that evaluators are appointed, such evaluators will draft a report to inform the shareholders of the terms and conditions of the transaction, as well as its effect and potential impact on the corporation. The evaluators</w:t>
      </w:r>
      <w:r>
        <w:rPr>
          <w:rFonts w:ascii="Arial" w:hAnsi="Arial" w:cs="Arial"/>
        </w:rPr>
        <w:t>_ report shall be made available to the shareholders. If shareholders representing at least 5% of the company_s voting stock consider that the transaction is not in the company_s best interest, or if the evaluators_ report differ considerably, they may req</w:t>
      </w:r>
      <w:r>
        <w:rPr>
          <w:rFonts w:ascii="Arial" w:hAnsi="Arial" w:cs="Arial"/>
        </w:rPr>
        <w:t>uest that the Board call for an extraordinary shareholders meeting in order to approve or reject the execution of such transaction, in the former case by at least two-thirds of the company_s voting stock. The related party that intends to carry out the ope</w:t>
      </w:r>
      <w:r>
        <w:rPr>
          <w:rFonts w:ascii="Arial" w:hAnsi="Arial" w:cs="Arial"/>
        </w:rPr>
        <w:t xml:space="preserve">ration with the company must provide to the Board all relevant information pertaining to such operation. </w:t>
      </w:r>
    </w:p>
    <w:p w:rsidR="00000000" w:rsidRDefault="003E5AFF">
      <w:pPr>
        <w:pStyle w:val="NormalWeb"/>
        <w:spacing w:before="120" w:beforeAutospacing="0" w:after="0" w:afterAutospacing="0"/>
      </w:pPr>
      <w:r>
        <w:rPr>
          <w:rFonts w:ascii="Arial" w:hAnsi="Arial" w:cs="Arial"/>
        </w:rPr>
        <w:t>Notwithstanding the applicable sanctions, the violation of these rules will not affect the validity of the transaction, but will entitle the corporati</w:t>
      </w:r>
      <w:r>
        <w:rPr>
          <w:rFonts w:ascii="Arial" w:hAnsi="Arial" w:cs="Arial"/>
        </w:rPr>
        <w:t xml:space="preserve">on or the shareholders to request that the defender disgorge profits obtained from the transaction. </w:t>
      </w:r>
    </w:p>
    <w:p w:rsidR="00000000" w:rsidRDefault="003E5AFF">
      <w:pPr>
        <w:pStyle w:val="NormalWeb"/>
        <w:spacing w:before="120" w:beforeAutospacing="0" w:after="0" w:afterAutospacing="0"/>
      </w:pPr>
      <w:r>
        <w:rPr>
          <w:rFonts w:ascii="Arial" w:hAnsi="Arial" w:cs="Arial"/>
        </w:rPr>
        <w:t>The following transactions with related parties can be carried out without compliance with the foregoing requirements, after approval by the board of direc</w:t>
      </w:r>
      <w:r>
        <w:rPr>
          <w:rFonts w:ascii="Arial" w:hAnsi="Arial" w:cs="Arial"/>
        </w:rPr>
        <w:t xml:space="preserve">tors: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Transactions that do not involve a significant amount, as described above. All transactions carried out in a 12 month period through one or more acts that are </w:t>
            </w:r>
            <w:r>
              <w:rPr>
                <w:rFonts w:ascii="Arial" w:hAnsi="Arial" w:cs="Arial"/>
              </w:rPr>
              <w:t xml:space="preserve">similar or complementary and in which the parties, including related parties, or the purpose are the same will be considered a single transaction.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Transactions which are in the ordinary course of business, as determined by the corporation_s p</w:t>
            </w:r>
            <w:r>
              <w:rPr>
                <w:rFonts w:ascii="Arial" w:hAnsi="Arial" w:cs="Arial"/>
              </w:rPr>
              <w:t xml:space="preserve">olicies regarding such matters. In this case, the resolution that establishes such policies or their amendments will be made available to the shareholders at the corporation_s offices and on their web site, if applicable.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Transactions between corporations in which the company owns, either directly or indirectly, at least 95% of its counterparty. </w:t>
            </w:r>
          </w:p>
        </w:tc>
      </w:tr>
    </w:tbl>
    <w:p w:rsidR="00000000" w:rsidRDefault="003E5AFF">
      <w:pPr>
        <w:pStyle w:val="NormalWeb"/>
        <w:spacing w:before="120" w:beforeAutospacing="0" w:after="0" w:afterAutospacing="0"/>
      </w:pPr>
      <w:r>
        <w:rPr>
          <w:rFonts w:ascii="Arial" w:hAnsi="Arial" w:cs="Arial"/>
        </w:rPr>
        <w:t>Borrowings by a director are treated under Chilean law as related party transactions and are subject to the rules set forth above</w:t>
      </w:r>
      <w:r>
        <w:rPr>
          <w:rFonts w:ascii="Arial" w:hAnsi="Arial" w:cs="Arial"/>
        </w:rPr>
        <w:t xml:space="preserve">. </w:t>
      </w:r>
    </w:p>
    <w:p w:rsidR="00000000" w:rsidRDefault="003E5AFF">
      <w:pPr>
        <w:pStyle w:val="NormalWeb"/>
        <w:spacing w:before="120" w:beforeAutospacing="0" w:after="0" w:afterAutospacing="0"/>
      </w:pPr>
      <w:r>
        <w:rPr>
          <w:rFonts w:ascii="Arial" w:hAnsi="Arial" w:cs="Arial"/>
        </w:rPr>
        <w:t>Pursuant to the Chilean Corporations Law, if the bylaws of a company establish compensation for directors, such compensation must be agreed to in a shareholders meeting. Our Bylaws establish that the directors will be compensated in an amount determined</w:t>
      </w:r>
      <w:r>
        <w:rPr>
          <w:rFonts w:ascii="Arial" w:hAnsi="Arial" w:cs="Arial"/>
        </w:rPr>
        <w:t xml:space="preserve"> by the annual shareholders meeting, notwithstanding the right of the Board to agree to compensate a director for the performance of any other duty different from his or her duty as a director. </w:t>
      </w:r>
    </w:p>
    <w:p w:rsidR="00000000" w:rsidRDefault="003E5AFF">
      <w:pPr>
        <w:pStyle w:val="NormalWeb"/>
        <w:spacing w:before="240" w:beforeAutospacing="0" w:after="0" w:afterAutospacing="0"/>
      </w:pPr>
      <w:r>
        <w:rPr>
          <w:rFonts w:ascii="Arial" w:hAnsi="Arial" w:cs="Arial"/>
          <w:b/>
          <w:bCs/>
          <w:sz w:val="24"/>
          <w:szCs w:val="24"/>
        </w:rPr>
        <w:t xml:space="preserve">Preemptive rights and increases of share capital </w:t>
      </w:r>
    </w:p>
    <w:p w:rsidR="00000000" w:rsidRDefault="003E5AFF">
      <w:pPr>
        <w:pStyle w:val="NormalWeb"/>
        <w:spacing w:before="120" w:beforeAutospacing="0" w:after="0" w:afterAutospacing="0"/>
      </w:pPr>
      <w:r>
        <w:rPr>
          <w:rFonts w:ascii="Arial" w:hAnsi="Arial" w:cs="Arial"/>
        </w:rPr>
        <w:t>The Chilean</w:t>
      </w:r>
      <w:r>
        <w:rPr>
          <w:rFonts w:ascii="Arial" w:hAnsi="Arial" w:cs="Arial"/>
        </w:rPr>
        <w:t xml:space="preserve"> Corporations Law grants certain preemptive rights to shareholders of all Chilean companies. The Chilean Corporations Law generally requires Chilean companies to offer to shareholders the right to purchase a sufficient number of shares or convertible secur</w:t>
      </w:r>
      <w:r>
        <w:rPr>
          <w:rFonts w:ascii="Arial" w:hAnsi="Arial" w:cs="Arial"/>
        </w:rPr>
        <w:t xml:space="preserve">ities to maintain their existing ownership percentage in the company whenever it issues new shares or convertible securities and prior to any sale in the market of its treasury shares of common stock.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- 243 - </w:t>
      </w:r>
    </w:p>
    <w:p w:rsidR="00000000" w:rsidRDefault="003E5AFF">
      <w:pPr>
        <w:rPr>
          <w:rFonts w:eastAsia="Times New Roman" w:cs="Times New Roman"/>
        </w:rPr>
      </w:pPr>
      <w:r>
        <w:rPr>
          <w:rFonts w:eastAsia="Times New Roman" w:cs="Times New Roman"/>
        </w:rPr>
        <w:pict>
          <v:rect id="_x0000_i1280" style="width:441.9pt;height:3pt" o:hralign="center" o:hrstd="t" o:hrnoshade="t" o:hr="t" fillcolor="#999" stroked="f"/>
        </w:pict>
      </w:r>
    </w:p>
    <w:p w:rsidR="00000000" w:rsidRDefault="003E5AFF">
      <w:pPr>
        <w:pStyle w:val="Heading5"/>
        <w:rPr>
          <w:rFonts w:eastAsia="Times New Roman" w:cs="Times New Roman"/>
        </w:rPr>
      </w:pPr>
      <w:hyperlink r:id="rId29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Pursuant to this requirement, preemptive rights in connection with any future issue of shares will </w:t>
      </w:r>
      <w:r>
        <w:rPr>
          <w:rFonts w:ascii="Arial" w:hAnsi="Arial" w:cs="Arial"/>
        </w:rPr>
        <w:t>be offered by us to the depositary as the registered owner of the shares underlying the ADSs. However, the depositary will not be able to make such preemptive rights available to holders of ADSs unless a registration statement under the Securities Act is e</w:t>
      </w:r>
      <w:r>
        <w:rPr>
          <w:rFonts w:ascii="Arial" w:hAnsi="Arial" w:cs="Arial"/>
        </w:rPr>
        <w:t xml:space="preserve">ffective with respect to the underlying shares or an exemption from the registration requirements thereunder is available. </w:t>
      </w:r>
    </w:p>
    <w:p w:rsidR="00000000" w:rsidRDefault="003E5AFF">
      <w:pPr>
        <w:pStyle w:val="NormalWeb"/>
        <w:spacing w:before="120" w:beforeAutospacing="0" w:after="0" w:afterAutospacing="0"/>
      </w:pPr>
      <w:r>
        <w:rPr>
          <w:rFonts w:ascii="Arial" w:hAnsi="Arial" w:cs="Arial"/>
        </w:rPr>
        <w:t>We intend to evaluate, at the time of any preemptive rights offering after the date hereof, the practicality under Chilean law in ef</w:t>
      </w:r>
      <w:r>
        <w:rPr>
          <w:rFonts w:ascii="Arial" w:hAnsi="Arial" w:cs="Arial"/>
        </w:rPr>
        <w:t>fect at the time of making such rights available to our ADS holders, as well as the costs and potential liabilities associated with registration of such rights and the related shares of common stock under the Securities Act, and the indirect benefits to us</w:t>
      </w:r>
      <w:r>
        <w:rPr>
          <w:rFonts w:ascii="Arial" w:hAnsi="Arial" w:cs="Arial"/>
        </w:rPr>
        <w:t xml:space="preserve"> of thereby enabling the exercise by all or certain holders of ADSs of their preemptive rights and any other factors we consider appropriate at the time, and then to make a decision as to whether to file such registration statement. We cannot assure you th</w:t>
      </w:r>
      <w:r>
        <w:rPr>
          <w:rFonts w:ascii="Arial" w:hAnsi="Arial" w:cs="Arial"/>
        </w:rPr>
        <w:t xml:space="preserve">at any registration statement would be filed. If we do not file a registration statement and no exemption from the registration requirements under the Securities Act is available, the Depositary will sell such holders_ preemptive rights and distribute the </w:t>
      </w:r>
      <w:r>
        <w:rPr>
          <w:rFonts w:ascii="Arial" w:hAnsi="Arial" w:cs="Arial"/>
        </w:rPr>
        <w:t>proceeds thereof if a premium can be recognized over the cost of such sale. In the event that the Depositary is not able, or determines that it is not feasible, to sell such rights at a premium over the cost of any such sale, all or certain holders of ADSs</w:t>
      </w:r>
      <w:r>
        <w:rPr>
          <w:rFonts w:ascii="Arial" w:hAnsi="Arial" w:cs="Arial"/>
        </w:rPr>
        <w:t xml:space="preserve"> may receive no value for such rights. Non-U.S. holders of ADSs may be able to exercise their preemptive rights regardless of whether a registration statement is filed. The inability of all or certain holders of ADSs to exercise preemptive rights in respec</w:t>
      </w:r>
      <w:r>
        <w:rPr>
          <w:rFonts w:ascii="Arial" w:hAnsi="Arial" w:cs="Arial"/>
        </w:rPr>
        <w:t xml:space="preserve">t of shares of common stock underlying such ADSs could result in such holders not maintaining their percentage ownership of the common stock following such preemptive rights offering unless such holder made additional market purchases of ADSs or shares of </w:t>
      </w:r>
      <w:r>
        <w:rPr>
          <w:rFonts w:ascii="Arial" w:hAnsi="Arial" w:cs="Arial"/>
        </w:rPr>
        <w:t xml:space="preserve">common stock. </w:t>
      </w:r>
    </w:p>
    <w:p w:rsidR="00000000" w:rsidRDefault="003E5AFF">
      <w:pPr>
        <w:pStyle w:val="NormalWeb"/>
        <w:spacing w:before="120" w:beforeAutospacing="0" w:after="0" w:afterAutospacing="0"/>
      </w:pPr>
      <w:r>
        <w:rPr>
          <w:rFonts w:ascii="Arial" w:hAnsi="Arial" w:cs="Arial"/>
        </w:rPr>
        <w:t xml:space="preserve">Under Chilean law, preemptive rights are exercisable or freely transferable by shareholders during a period that cannot be less than 30 days following the grant of such rights. During such period, and for an </w:t>
      </w:r>
      <w:r>
        <w:rPr>
          <w:rFonts w:ascii="Arial" w:hAnsi="Arial" w:cs="Arial"/>
        </w:rPr>
        <w:t xml:space="preserve">additional 30-day period thereafter, a Chilean corporation is not permitted to offer any unsubscribed shares for sale to third parties on terms which are more favorable than those offered to its shareholders. At the end of such additional 30-day period, a </w:t>
      </w:r>
      <w:r>
        <w:rPr>
          <w:rFonts w:ascii="Arial" w:hAnsi="Arial" w:cs="Arial"/>
        </w:rPr>
        <w:t xml:space="preserve">Chilean open stock corporation is authorized to sell unsubscribed shares to third parties on any terms, provided they are sold on a Chilean stock exchange. Unsubscribed shares that are not sold on a Chilean stock exchange can be sold to third parties only </w:t>
      </w:r>
      <w:r>
        <w:rPr>
          <w:rFonts w:ascii="Arial" w:hAnsi="Arial" w:cs="Arial"/>
        </w:rPr>
        <w:t xml:space="preserve">on terms no more favorable for the purchaser than those offered to shareholders. </w:t>
      </w:r>
    </w:p>
    <w:p w:rsidR="00000000" w:rsidRDefault="003E5AFF">
      <w:pPr>
        <w:pStyle w:val="NormalWeb"/>
        <w:spacing w:before="240" w:beforeAutospacing="0" w:after="0" w:afterAutospacing="0"/>
      </w:pPr>
      <w:r>
        <w:rPr>
          <w:rFonts w:ascii="Arial" w:hAnsi="Arial" w:cs="Arial"/>
          <w:b/>
          <w:bCs/>
          <w:sz w:val="24"/>
          <w:szCs w:val="24"/>
        </w:rPr>
        <w:t xml:space="preserve">Dividend and liquidation rights </w:t>
      </w:r>
    </w:p>
    <w:p w:rsidR="00000000" w:rsidRDefault="003E5AFF">
      <w:pPr>
        <w:pStyle w:val="NormalWeb"/>
        <w:spacing w:before="120" w:beforeAutospacing="0" w:after="0" w:afterAutospacing="0"/>
      </w:pPr>
      <w:r>
        <w:rPr>
          <w:rFonts w:ascii="Arial" w:hAnsi="Arial" w:cs="Arial"/>
        </w:rPr>
        <w:t>In accordance with Chilean law, we must distribute mandatory cash dividends of 30% of our consolidated net income unless otherwise decided by</w:t>
      </w:r>
      <w:r>
        <w:rPr>
          <w:rFonts w:ascii="Arial" w:hAnsi="Arial" w:cs="Arial"/>
        </w:rPr>
        <w:t xml:space="preserve"> a unanimous vote of the holders of the Shares. See _Dividends and dividend policy._ </w:t>
      </w:r>
    </w:p>
    <w:p w:rsidR="00000000" w:rsidRDefault="003E5AFF">
      <w:pPr>
        <w:pStyle w:val="NormalWeb"/>
        <w:spacing w:before="120" w:beforeAutospacing="0" w:after="0" w:afterAutospacing="0"/>
      </w:pPr>
      <w:r>
        <w:rPr>
          <w:rFonts w:ascii="Arial" w:hAnsi="Arial" w:cs="Arial"/>
        </w:rPr>
        <w:t>At our option, the portion of any dividend which exceeds the mandatory limits established pursuant to Chilean law may be paid in cash, in our shares or in shares of corpo</w:t>
      </w:r>
      <w:r>
        <w:rPr>
          <w:rFonts w:ascii="Arial" w:hAnsi="Arial" w:cs="Arial"/>
        </w:rPr>
        <w:t>rations owned by us. Shareholders who do not expressly elect to receive a dividend other than in cash are legally presumed to have decided to receive the dividend in cash. Our ADS holders may, in the absence of an effective registration statement under the</w:t>
      </w:r>
      <w:r>
        <w:rPr>
          <w:rFonts w:ascii="Arial" w:hAnsi="Arial" w:cs="Arial"/>
        </w:rPr>
        <w:t xml:space="preserve"> Securities Act or an available exemption from the registration requirement thereunder, effectively be required to receive a dividend in cash. See __Preemptive rights and increases of share capital._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- 244 - </w:t>
      </w:r>
    </w:p>
    <w:p w:rsidR="00000000" w:rsidRDefault="003E5AFF">
      <w:pPr>
        <w:rPr>
          <w:rFonts w:eastAsia="Times New Roman" w:cs="Times New Roman"/>
        </w:rPr>
      </w:pPr>
      <w:r>
        <w:rPr>
          <w:rFonts w:eastAsia="Times New Roman" w:cs="Times New Roman"/>
        </w:rPr>
        <w:pict>
          <v:rect id="_x0000_i1281" style="width:441.9pt;height:3pt" o:hralign="center" o:hrstd="t" o:hrnoshade="t" o:hr="t" fillcolor="#999" stroked="f"/>
        </w:pict>
      </w:r>
    </w:p>
    <w:p w:rsidR="00000000" w:rsidRDefault="003E5AFF">
      <w:pPr>
        <w:pStyle w:val="Heading5"/>
        <w:rPr>
          <w:rFonts w:eastAsia="Times New Roman" w:cs="Times New Roman"/>
        </w:rPr>
      </w:pPr>
      <w:hyperlink r:id="rId298" w:anchor="toc" w:history="1">
        <w:r>
          <w:rPr>
            <w:rStyle w:val="Hyperlink"/>
            <w:rFonts w:eastAsia="Times New Roman" w:cs="Times New Roman"/>
          </w:rPr>
          <w:t xml:space="preserve">Table of </w:t>
        </w:r>
        <w:r>
          <w:rPr>
            <w:rStyle w:val="Hyperlink"/>
            <w:rFonts w:eastAsia="Times New Roman" w:cs="Times New Roman"/>
          </w:rPr>
          <w:t>Contents</w:t>
        </w:r>
      </w:hyperlink>
    </w:p>
    <w:p w:rsidR="00000000" w:rsidRDefault="003E5AFF">
      <w:pPr>
        <w:pStyle w:val="NormalWeb"/>
        <w:spacing w:before="0" w:beforeAutospacing="0" w:after="0" w:afterAutospacing="0"/>
      </w:pPr>
      <w:r>
        <w:rPr>
          <w:rFonts w:ascii="Arial" w:hAnsi="Arial" w:cs="Arial"/>
        </w:rPr>
        <w:t xml:space="preserve">Those dividends not collected by the shareholders entitled thereto lapse five years after the payment date, with the funds going to the Chilean Treasury. </w:t>
      </w:r>
    </w:p>
    <w:p w:rsidR="00000000" w:rsidRDefault="003E5AFF">
      <w:pPr>
        <w:pStyle w:val="NormalWeb"/>
        <w:spacing w:before="120" w:beforeAutospacing="0" w:after="0" w:afterAutospacing="0"/>
      </w:pPr>
      <w:r>
        <w:rPr>
          <w:rFonts w:ascii="Arial" w:hAnsi="Arial" w:cs="Arial"/>
        </w:rPr>
        <w:t>In the event of a liquidation of our company, the holders of fully paid shares of common sto</w:t>
      </w:r>
      <w:r>
        <w:rPr>
          <w:rFonts w:ascii="Arial" w:hAnsi="Arial" w:cs="Arial"/>
        </w:rPr>
        <w:t xml:space="preserve">ck would participate in the assets available after payment of all creditors in proportion to the number of shares held by them. </w:t>
      </w:r>
    </w:p>
    <w:p w:rsidR="00000000" w:rsidRDefault="003E5AFF">
      <w:pPr>
        <w:pStyle w:val="NormalWeb"/>
        <w:spacing w:before="240" w:beforeAutospacing="0" w:after="0" w:afterAutospacing="0"/>
      </w:pPr>
      <w:r>
        <w:rPr>
          <w:rFonts w:ascii="Arial" w:hAnsi="Arial" w:cs="Arial"/>
          <w:b/>
          <w:bCs/>
          <w:sz w:val="24"/>
          <w:szCs w:val="24"/>
        </w:rPr>
        <w:t xml:space="preserve">Shareholders_ meetings and voting rights </w:t>
      </w:r>
    </w:p>
    <w:p w:rsidR="00000000" w:rsidRDefault="003E5AFF">
      <w:pPr>
        <w:pStyle w:val="NormalWeb"/>
        <w:spacing w:before="120" w:beforeAutospacing="0" w:after="0" w:afterAutospacing="0"/>
      </w:pPr>
      <w:r>
        <w:rPr>
          <w:rFonts w:ascii="Arial" w:hAnsi="Arial" w:cs="Arial"/>
        </w:rPr>
        <w:t xml:space="preserve">We hold our annual shareholders meeting during the first fourth months of each year. </w:t>
      </w:r>
      <w:r>
        <w:rPr>
          <w:rFonts w:ascii="Arial" w:hAnsi="Arial" w:cs="Arial"/>
        </w:rPr>
        <w:t xml:space="preserve">Extraordinary shareholders meetings may be called by the board of directors when deemed appropriate or when requested by shareholders representing at least 10% of the issued voting shares or by the SVS. Notice to convene the annual shareholders meeting or </w:t>
      </w:r>
      <w:r>
        <w:rPr>
          <w:rFonts w:ascii="Arial" w:hAnsi="Arial" w:cs="Arial"/>
        </w:rPr>
        <w:t>an extraordinary shareholders meeting is given by means of a notice in a newspaper published in Cencosud_s corporate domicile (currently Santiago) or in the Official Gazette in a prescribed manner. Notice must also be mailed to each shareholder and given t</w:t>
      </w:r>
      <w:r>
        <w:rPr>
          <w:rFonts w:ascii="Arial" w:hAnsi="Arial" w:cs="Arial"/>
        </w:rPr>
        <w:t xml:space="preserve">o the SVS 15 days in advance of the meeting. </w:t>
      </w:r>
    </w:p>
    <w:p w:rsidR="00000000" w:rsidRDefault="003E5AFF">
      <w:pPr>
        <w:pStyle w:val="NormalWeb"/>
        <w:spacing w:before="120" w:beforeAutospacing="0" w:after="0" w:afterAutospacing="0"/>
      </w:pPr>
      <w:r>
        <w:rPr>
          <w:rFonts w:ascii="Arial" w:hAnsi="Arial" w:cs="Arial"/>
        </w:rPr>
        <w:t xml:space="preserve">The quorum for a shareholders_ meeting is established by the presence, in person or by power of attorney, of shareholders representing at least the absolute majority of our issued voting shares. If a quorum is </w:t>
      </w:r>
      <w:r>
        <w:rPr>
          <w:rFonts w:ascii="Arial" w:hAnsi="Arial" w:cs="Arial"/>
        </w:rPr>
        <w:t>not present at the first meeting, the meeting can be reconvened and upon the meeting being reconvened, shareholders present at the reconvened meeting are deemed to constitute a quorum regardless of the percentage of the shares represented. However, if a sh</w:t>
      </w:r>
      <w:r>
        <w:rPr>
          <w:rFonts w:ascii="Arial" w:hAnsi="Arial" w:cs="Arial"/>
        </w:rPr>
        <w:t xml:space="preserve">areholders_ meeting is called for the purpose of considering: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change of our organization, merger or division,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 amendment to the term of duration or early dissolution,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change in our corporate domicile,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decrease of our corporate capital,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approval of capital contributions in assets other than cash and their assessments,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modification of the authority reserved to shareholders meetings or limitations on the Board of Directors,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reduction in the number of members of our Board of Directors,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sale, transfer or disposition of 50% or more of assets, either including or excluding its corresponding liability, or the formulation or modification of any business plan which contemplates the sale, transfer or disposition of our assets in such amount</w:t>
            </w:r>
            <w:r>
              <w:rPr>
                <w:rFonts w:ascii="Arial" w:hAnsi="Arial" w:cs="Arial"/>
              </w:rPr>
              <w:t xml:space="preserve">, the sale of 50% or more of the assets of an affiliate that represents at least 20% of the assets of the corporation, as well as any sale of its shares which would result in us ceasing to be in control of such subsidiary,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form of distributing corporate benefits,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granting of a guaranty by us of liabilities of any third-party other than a subsidiary, in an amount exceeding 50% of our total assets,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our purchase of our issued stock in accordance with articles 27A and 27B of Law No. 18,046,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- 245 - </w:t>
      </w:r>
    </w:p>
    <w:p w:rsidR="00000000" w:rsidRDefault="003E5AFF">
      <w:pPr>
        <w:rPr>
          <w:rFonts w:eastAsia="Times New Roman" w:cs="Times New Roman"/>
        </w:rPr>
      </w:pPr>
      <w:r>
        <w:rPr>
          <w:rFonts w:eastAsia="Times New Roman" w:cs="Times New Roman"/>
        </w:rPr>
        <w:pict>
          <v:rect id="_x0000_i1282" style="width:441.9pt;height:3pt" o:hralign="center" o:hrstd="t" o:hrnoshade="t" o:hr="t" fillcolor="#999" stroked="f"/>
        </w:pict>
      </w:r>
    </w:p>
    <w:p w:rsidR="00000000" w:rsidRDefault="003E5AFF">
      <w:pPr>
        <w:pStyle w:val="Heading5"/>
        <w:rPr>
          <w:rFonts w:eastAsia="Times New Roman" w:cs="Times New Roman"/>
        </w:rPr>
      </w:pPr>
      <w:hyperlink r:id="rId299"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amendment of</w:t>
            </w:r>
            <w:r>
              <w:rPr>
                <w:rFonts w:ascii="Arial" w:hAnsi="Arial" w:cs="Arial"/>
              </w:rPr>
              <w:t xml:space="preserve"> any formal defects in our Bylaws which may nullify our incorporation, or any amendment of the Bylaws referring to one or more of the matters indicated above,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approval of our ceasing to be subject to the regulations applicable to publicly held corporations in the event we no longer meet the requirements under Chilean law to qualify as such a corporation, or the establishment of the right for our controller t</w:t>
            </w:r>
            <w:r>
              <w:rPr>
                <w:rFonts w:ascii="Arial" w:hAnsi="Arial" w:cs="Arial"/>
              </w:rPr>
              <w:t xml:space="preserve">o acquire the shares of minority shareholders after a tender offer, in the terms set forth in paragraph 2 of article 71 bis of Law No. 18,046,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approval or ratification of contracts or agreements with related parties, in accordance with ar</w:t>
            </w:r>
            <w:r>
              <w:rPr>
                <w:rFonts w:ascii="Arial" w:hAnsi="Arial" w:cs="Arial"/>
              </w:rPr>
              <w:t xml:space="preserve">ticles 44 and 147 of Law No. 18,046,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other matters as may be set forth in our Bylaws. </w:t>
            </w:r>
          </w:p>
        </w:tc>
      </w:tr>
    </w:tbl>
    <w:p w:rsidR="00000000" w:rsidRDefault="003E5AFF">
      <w:pPr>
        <w:pStyle w:val="NormalWeb"/>
        <w:spacing w:before="120" w:beforeAutospacing="0" w:after="0" w:afterAutospacing="0"/>
        <w:ind w:left="238" w:hanging="245"/>
      </w:pPr>
      <w:r>
        <w:rPr>
          <w:rFonts w:ascii="Arial" w:hAnsi="Arial" w:cs="Arial"/>
        </w:rPr>
        <w:t xml:space="preserve">The vote required at such meeting is a two-thirds majority of the issued common stock. </w:t>
      </w:r>
    </w:p>
    <w:p w:rsidR="00000000" w:rsidRDefault="003E5AFF">
      <w:pPr>
        <w:pStyle w:val="NormalWeb"/>
        <w:spacing w:before="120" w:beforeAutospacing="0" w:after="0" w:afterAutospacing="0"/>
      </w:pPr>
      <w:r>
        <w:rPr>
          <w:rFonts w:ascii="Arial" w:hAnsi="Arial" w:cs="Arial"/>
        </w:rPr>
        <w:t xml:space="preserve">Additionally, the amendment of </w:t>
      </w:r>
      <w:r>
        <w:rPr>
          <w:rFonts w:ascii="Arial" w:hAnsi="Arial" w:cs="Arial"/>
        </w:rPr>
        <w:t xml:space="preserve">our Bylaws aimed at the creation, modification, extension or suppression of preferential rights, must be approved with the favorable vote of two-thirds of the shares of the affected series. </w:t>
      </w:r>
    </w:p>
    <w:p w:rsidR="00000000" w:rsidRDefault="003E5AFF">
      <w:pPr>
        <w:pStyle w:val="NormalWeb"/>
        <w:spacing w:before="120" w:beforeAutospacing="0" w:after="0" w:afterAutospacing="0"/>
      </w:pPr>
      <w:r>
        <w:rPr>
          <w:rFonts w:ascii="Arial" w:hAnsi="Arial" w:cs="Arial"/>
        </w:rPr>
        <w:t>Chilean law does not require a publicly-held Chilean company to p</w:t>
      </w:r>
      <w:r>
        <w:rPr>
          <w:rFonts w:ascii="Arial" w:hAnsi="Arial" w:cs="Arial"/>
        </w:rPr>
        <w:t xml:space="preserve">rovide the level and type of information that United States securities laws require a reporting company to provide to its shareholders in connection with a solicitation of proxies. Under Chilean law, a notice of a shareholders_ meeting listing the matters </w:t>
      </w:r>
      <w:r>
        <w:rPr>
          <w:rFonts w:ascii="Arial" w:hAnsi="Arial" w:cs="Arial"/>
        </w:rPr>
        <w:t>to be addressed must be mailed to shareholders and the SVS not fewer than 15 days prior to the date of a meeting. In cases of an Annual Shareholders_ Meeting, an annual report of our activities, which includes our audited financial statements, must also be</w:t>
      </w:r>
      <w:r>
        <w:rPr>
          <w:rFonts w:ascii="Arial" w:hAnsi="Arial" w:cs="Arial"/>
        </w:rPr>
        <w:t xml:space="preserve"> mailed to shareholders. </w:t>
      </w:r>
    </w:p>
    <w:p w:rsidR="00000000" w:rsidRDefault="003E5AFF">
      <w:pPr>
        <w:pStyle w:val="NormalWeb"/>
        <w:spacing w:before="120" w:beforeAutospacing="0" w:after="0" w:afterAutospacing="0"/>
      </w:pPr>
      <w:r>
        <w:rPr>
          <w:rFonts w:ascii="Arial" w:hAnsi="Arial" w:cs="Arial"/>
        </w:rPr>
        <w:t>The Chilean Corporations Law provides that whenever shareholders representing 10% or more of the issued voting shares so request, a Chilean company_s annual report must include within the materials dispatched by the board of direc</w:t>
      </w:r>
      <w:r>
        <w:rPr>
          <w:rFonts w:ascii="Arial" w:hAnsi="Arial" w:cs="Arial"/>
        </w:rPr>
        <w:t xml:space="preserve">tors to shareholders, the comments and proposals of such shareholders in relation to the company_s affairs. Similarly, the Chilean Corporations Law provides that whenever the board of directors of a publicly-held company convenes a meeting of shareholders </w:t>
      </w:r>
      <w:r>
        <w:rPr>
          <w:rFonts w:ascii="Arial" w:hAnsi="Arial" w:cs="Arial"/>
        </w:rPr>
        <w:t>and solicits proxies for the meeting, information supporting its decisions or other similar materials, it is obligated to include the pertinent comments and proposals that may have been made by shareholders owning 10% or more of the company_s voting shares</w:t>
      </w:r>
      <w:r>
        <w:rPr>
          <w:rFonts w:ascii="Arial" w:hAnsi="Arial" w:cs="Arial"/>
        </w:rPr>
        <w:t xml:space="preserve"> who request that such comments and proposals be so included. </w:t>
      </w:r>
    </w:p>
    <w:p w:rsidR="00000000" w:rsidRDefault="003E5AFF">
      <w:pPr>
        <w:pStyle w:val="NormalWeb"/>
        <w:spacing w:before="120" w:beforeAutospacing="0" w:after="0" w:afterAutospacing="0"/>
      </w:pPr>
      <w:r>
        <w:rPr>
          <w:rFonts w:ascii="Arial" w:hAnsi="Arial" w:cs="Arial"/>
        </w:rPr>
        <w:t xml:space="preserve">Only shareholders registered in the Shareholders_ Registry as such at least five Chilean business days prior to the date of a shareholders meeting are entitled to attend and vote their shares. </w:t>
      </w:r>
      <w:r>
        <w:rPr>
          <w:rFonts w:ascii="Arial" w:hAnsi="Arial" w:cs="Arial"/>
        </w:rPr>
        <w:t>A shareholder may appoint by power of attorney another individual (who need not be a shareholder) as its attorney-in-fact to attend and vote on its behalf. Every shareholder entitled to attend and vote at a shareholders meeting shall have one vote for ever</w:t>
      </w:r>
      <w:r>
        <w:rPr>
          <w:rFonts w:ascii="Arial" w:hAnsi="Arial" w:cs="Arial"/>
        </w:rPr>
        <w:t xml:space="preserve">y share subscribed. </w:t>
      </w:r>
    </w:p>
    <w:p w:rsidR="00000000" w:rsidRDefault="003E5AFF">
      <w:pPr>
        <w:pStyle w:val="NormalWeb"/>
        <w:spacing w:before="240" w:beforeAutospacing="0" w:after="0" w:afterAutospacing="0"/>
      </w:pPr>
      <w:r>
        <w:rPr>
          <w:rFonts w:ascii="Arial" w:hAnsi="Arial" w:cs="Arial"/>
          <w:b/>
          <w:bCs/>
          <w:sz w:val="24"/>
          <w:szCs w:val="24"/>
        </w:rPr>
        <w:t xml:space="preserve">Right of dissenting shareholders to tender their shares </w:t>
      </w:r>
    </w:p>
    <w:p w:rsidR="00000000" w:rsidRDefault="003E5AFF">
      <w:pPr>
        <w:pStyle w:val="NormalWeb"/>
        <w:spacing w:before="120" w:beforeAutospacing="0" w:after="0" w:afterAutospacing="0"/>
      </w:pPr>
      <w:r>
        <w:rPr>
          <w:rFonts w:ascii="Arial" w:hAnsi="Arial" w:cs="Arial"/>
        </w:rPr>
        <w:t xml:space="preserve">The Chilean Corporations Law provides that upon the adoption at an extraordinary shareholders meeting of any of the resolutions enumerated below, dissenting shareholders acquire </w:t>
      </w:r>
      <w:r>
        <w:rPr>
          <w:rFonts w:ascii="Arial" w:hAnsi="Arial" w:cs="Arial"/>
        </w:rPr>
        <w:t xml:space="preserve">a right of redemption to force the company to repurchase their shares, subject to the fulfillment of certain terms and conditions. </w:t>
      </w:r>
    </w:p>
    <w:p w:rsidR="00000000" w:rsidRDefault="003E5AFF">
      <w:pPr>
        <w:pStyle w:val="NormalWeb"/>
        <w:spacing w:before="120" w:beforeAutospacing="0" w:after="0" w:afterAutospacing="0"/>
      </w:pPr>
      <w:r>
        <w:rPr>
          <w:rFonts w:ascii="Arial" w:hAnsi="Arial" w:cs="Arial"/>
        </w:rPr>
        <w:t xml:space="preserve">_Dissenting_ shareholders are defined as those which vote against a resolution which results in the redemption right, or if </w:t>
      </w:r>
      <w:r>
        <w:rPr>
          <w:rFonts w:ascii="Arial" w:hAnsi="Arial" w:cs="Arial"/>
        </w:rPr>
        <w:t xml:space="preserve">absent at such a meeting, those who state in writing to the company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- 246 - </w:t>
      </w:r>
    </w:p>
    <w:p w:rsidR="00000000" w:rsidRDefault="003E5AFF">
      <w:pPr>
        <w:rPr>
          <w:rFonts w:eastAsia="Times New Roman" w:cs="Times New Roman"/>
        </w:rPr>
      </w:pPr>
      <w:r>
        <w:rPr>
          <w:rFonts w:eastAsia="Times New Roman" w:cs="Times New Roman"/>
        </w:rPr>
        <w:pict>
          <v:rect id="_x0000_i1283" style="width:441.9pt;height:3pt" o:hralign="center" o:hrstd="t" o:hrnoshade="t" o:hr="t" fillcolor="#999" stroked="f"/>
        </w:pict>
      </w:r>
    </w:p>
    <w:p w:rsidR="00000000" w:rsidRDefault="003E5AFF">
      <w:pPr>
        <w:pStyle w:val="Heading5"/>
        <w:rPr>
          <w:rFonts w:eastAsia="Times New Roman" w:cs="Times New Roman"/>
        </w:rPr>
      </w:pPr>
      <w:hyperlink r:id="rId30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their opposition to the res</w:t>
      </w:r>
      <w:r>
        <w:rPr>
          <w:rFonts w:ascii="Arial" w:hAnsi="Arial" w:cs="Arial"/>
        </w:rPr>
        <w:t xml:space="preserve">pective resolution. Dissenting shareholders must perfect their redemption rights by tendering their stock to the company within 30 days of the resolution (except in the case of pension fund shareholders as discussed below). </w:t>
      </w:r>
    </w:p>
    <w:p w:rsidR="00000000" w:rsidRDefault="003E5AFF">
      <w:pPr>
        <w:pStyle w:val="NormalWeb"/>
        <w:spacing w:before="120" w:beforeAutospacing="0" w:after="0" w:afterAutospacing="0"/>
      </w:pPr>
      <w:r>
        <w:rPr>
          <w:rFonts w:ascii="Arial" w:hAnsi="Arial" w:cs="Arial"/>
        </w:rPr>
        <w:t xml:space="preserve">The price paid to a dissenting </w:t>
      </w:r>
      <w:r>
        <w:rPr>
          <w:rFonts w:ascii="Arial" w:hAnsi="Arial" w:cs="Arial"/>
        </w:rPr>
        <w:t xml:space="preserve">shareholder of a publicly-held company for such shares is the weighted average of the closing sales prices for the shares as reported on the stock exchanges for the two-month period preceding the event giving rise to the redemption right. </w:t>
      </w:r>
    </w:p>
    <w:p w:rsidR="00000000" w:rsidRDefault="003E5AFF">
      <w:pPr>
        <w:pStyle w:val="NormalWeb"/>
        <w:spacing w:before="120" w:beforeAutospacing="0" w:after="0" w:afterAutospacing="0"/>
      </w:pPr>
      <w:r>
        <w:rPr>
          <w:rFonts w:ascii="Arial" w:hAnsi="Arial" w:cs="Arial"/>
        </w:rPr>
        <w:t xml:space="preserve">The resolutions </w:t>
      </w:r>
      <w:r>
        <w:rPr>
          <w:rFonts w:ascii="Arial" w:hAnsi="Arial" w:cs="Arial"/>
        </w:rPr>
        <w:t xml:space="preserve">that result in a shareholder_s redemption right are the following: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our transformation into a different type of legal entity;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our merger with or into another company;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disposition of 50% or more of our assets, whether or not that sale includes our liabilities or the proposal or amendment of any business plan involving the transfer of more than 50% of our assets; and the sale of 50% or more of the assets of an affilia</w:t>
            </w:r>
            <w:r>
              <w:rPr>
                <w:rFonts w:ascii="Arial" w:hAnsi="Arial" w:cs="Arial"/>
              </w:rPr>
              <w:t xml:space="preserve">te which represents at least 20% of the assets of the corporation, as well as any sale of its shares which would result in us ceasing to be in control of such subsidiary;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granting of security interests or personal guarantees to secure or guarantee third parties_ obligations exceeding 50% of our assets, except with regard to security interests or personal guarantees, which are granted to secure or guarantee obligations o</w:t>
            </w:r>
            <w:r>
              <w:rPr>
                <w:rFonts w:ascii="Arial" w:hAnsi="Arial" w:cs="Arial"/>
              </w:rPr>
              <w:t xml:space="preserve">f our subsidiaries;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creation of preferential rights for a class of shares or an amendment to those already existing, in which case the redemption right only accrues to the dissenting shareholder of the class or classes of shares adversely</w:t>
            </w:r>
            <w:r>
              <w:rPr>
                <w:rFonts w:ascii="Arial" w:hAnsi="Arial" w:cs="Arial"/>
              </w:rPr>
              <w:t xml:space="preserve"> affected;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amendment of our Bylaws to correct any formal defect in our incorporation, which might cause our Bylaws to become null and void, or any amendment of our Bylaws that grants a shareholder a redemption right;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approval by our shareholders of our ceasing to be subject to the regulations applicable to publicly held corporations in the event we no longer meet the requirements under Chilean law to qualify as such a corporation;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any other causes as may be established by Chilean law and our Bylaws (our Bylaws currently do not establish any instances). </w:t>
            </w:r>
          </w:p>
        </w:tc>
      </w:tr>
    </w:tbl>
    <w:p w:rsidR="00000000" w:rsidRDefault="003E5AFF">
      <w:pPr>
        <w:pStyle w:val="NormalWeb"/>
        <w:spacing w:before="120" w:beforeAutospacing="0" w:after="0" w:afterAutospacing="0"/>
      </w:pPr>
      <w:r>
        <w:rPr>
          <w:rFonts w:ascii="Arial" w:hAnsi="Arial" w:cs="Arial"/>
        </w:rPr>
        <w:t>In addition, shareholders of a publicly held corporation have a redemption right if a person acquires two-thirds or more of the out</w:t>
      </w:r>
      <w:r>
        <w:rPr>
          <w:rFonts w:ascii="Arial" w:hAnsi="Arial" w:cs="Arial"/>
        </w:rPr>
        <w:t xml:space="preserve">standing voting stock of the company and does not make a tender offer for the remaining shares within 30 days of that acquisition at a price not lower than the price that would be paid shareholders exercising their redemption rights. </w:t>
      </w:r>
    </w:p>
    <w:p w:rsidR="00000000" w:rsidRDefault="003E5AFF">
      <w:pPr>
        <w:pStyle w:val="NormalWeb"/>
        <w:spacing w:before="120" w:beforeAutospacing="0" w:after="0" w:afterAutospacing="0"/>
      </w:pPr>
      <w:r>
        <w:rPr>
          <w:rFonts w:ascii="Arial" w:hAnsi="Arial" w:cs="Arial"/>
        </w:rPr>
        <w:t>However, the right of</w:t>
      </w:r>
      <w:r>
        <w:rPr>
          <w:rFonts w:ascii="Arial" w:hAnsi="Arial" w:cs="Arial"/>
        </w:rPr>
        <w:t xml:space="preserve"> redemption described in the previous sentence does not apply in the event the company reduces its capital as a result of not having fully subscribed and paid an increase of capital within the statutory term. </w:t>
      </w:r>
    </w:p>
    <w:p w:rsidR="00000000" w:rsidRDefault="003E5AFF">
      <w:pPr>
        <w:pStyle w:val="NormalWeb"/>
        <w:spacing w:before="120" w:beforeAutospacing="0" w:after="0" w:afterAutospacing="0"/>
      </w:pPr>
      <w:r>
        <w:rPr>
          <w:rFonts w:ascii="Arial" w:hAnsi="Arial" w:cs="Arial"/>
        </w:rPr>
        <w:t>Finally, shareholders of a publicly held corpo</w:t>
      </w:r>
      <w:r>
        <w:rPr>
          <w:rFonts w:ascii="Arial" w:hAnsi="Arial" w:cs="Arial"/>
        </w:rPr>
        <w:t xml:space="preserve">ration have the right of redemption within 30 days after the date when the controller acquires more than 95% of the shares of the company. These redemption rights must be exercised within 30 days.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- 247 - </w:t>
      </w:r>
    </w:p>
    <w:p w:rsidR="00000000" w:rsidRDefault="003E5AFF">
      <w:pPr>
        <w:rPr>
          <w:rFonts w:eastAsia="Times New Roman" w:cs="Times New Roman"/>
        </w:rPr>
      </w:pPr>
      <w:r>
        <w:rPr>
          <w:rFonts w:eastAsia="Times New Roman" w:cs="Times New Roman"/>
        </w:rPr>
        <w:pict>
          <v:rect id="_x0000_i1284" style="width:441.9pt;height:3pt" o:hralign="center" o:hrstd="t" o:hrnoshade="t" o:hr="t" fillcolor="#999" stroked="f"/>
        </w:pict>
      </w:r>
    </w:p>
    <w:p w:rsidR="00000000" w:rsidRDefault="003E5AFF">
      <w:pPr>
        <w:pStyle w:val="Heading5"/>
        <w:rPr>
          <w:rFonts w:eastAsia="Times New Roman" w:cs="Times New Roman"/>
        </w:rPr>
      </w:pPr>
      <w:hyperlink r:id="rId30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26" w:name="rom343004_25"/>
      <w:bookmarkEnd w:id="26"/>
      <w:r>
        <w:rPr>
          <w:rFonts w:ascii="Arial" w:hAnsi="Arial" w:cs="Arial"/>
          <w:b/>
          <w:bCs/>
          <w:sz w:val="36"/>
          <w:szCs w:val="36"/>
        </w:rPr>
        <w:t xml:space="preserve">Description of American depositary shares </w:t>
      </w:r>
    </w:p>
    <w:p w:rsidR="00000000" w:rsidRDefault="003E5AFF">
      <w:pPr>
        <w:pStyle w:val="NormalWeb"/>
        <w:spacing w:before="120" w:beforeAutospacing="0" w:after="0" w:afterAutospacing="0"/>
      </w:pPr>
      <w:r>
        <w:rPr>
          <w:rFonts w:ascii="Arial" w:hAnsi="Arial" w:cs="Arial"/>
        </w:rPr>
        <w:t>The following is a general description of the deposi</w:t>
      </w:r>
      <w:r>
        <w:rPr>
          <w:rFonts w:ascii="Arial" w:hAnsi="Arial" w:cs="Arial"/>
        </w:rPr>
        <w:t>tary arrangement, including a summary of certain provisions of the Deposit Agreement pursuant to which the ADSs will be issued and a summary of certain applicable provisions of Chilean law. The Deposit Agreement is among us, The Bank of New York Mellon, as</w:t>
      </w:r>
      <w:r>
        <w:rPr>
          <w:rFonts w:ascii="Arial" w:hAnsi="Arial" w:cs="Arial"/>
        </w:rPr>
        <w:t xml:space="preserve"> depositary (the _Depositary_), and the registered holders and beneficial owners from time to time of ADSs. This is a summary of the material provisions of the Deposit Agreement. You are encouraged to review the Deposit Agreement, which has been filed as a</w:t>
      </w:r>
      <w:r>
        <w:rPr>
          <w:rFonts w:ascii="Arial" w:hAnsi="Arial" w:cs="Arial"/>
        </w:rPr>
        <w:t>n exhibit to the registration statement of which this prospectus is a part. Additional copies of the Deposit Agreement are available for inspection at the Corporate Trust Office of the Depositary, which is presently located at 101 Barclay Street, New York,</w:t>
      </w:r>
      <w:r>
        <w:rPr>
          <w:rFonts w:ascii="Arial" w:hAnsi="Arial" w:cs="Arial"/>
        </w:rPr>
        <w:t xml:space="preserve"> New York 10286, and at the office of the custodian, currently Banco Santander_Chile, or any successor or successors thereto (the _Custodian_) in Chile. </w:t>
      </w:r>
    </w:p>
    <w:p w:rsidR="00000000" w:rsidRDefault="003E5AFF">
      <w:pPr>
        <w:pStyle w:val="NormalWeb"/>
        <w:spacing w:before="240" w:beforeAutospacing="0" w:after="0" w:afterAutospacing="0"/>
      </w:pPr>
      <w:r>
        <w:rPr>
          <w:rFonts w:ascii="Arial" w:hAnsi="Arial" w:cs="Arial"/>
          <w:b/>
          <w:bCs/>
          <w:sz w:val="24"/>
          <w:szCs w:val="24"/>
        </w:rPr>
        <w:t xml:space="preserve">Rule 144A and regulation S ADR facilities </w:t>
      </w:r>
    </w:p>
    <w:p w:rsidR="00000000" w:rsidRDefault="003E5AFF">
      <w:pPr>
        <w:pStyle w:val="NormalWeb"/>
        <w:spacing w:before="120" w:beforeAutospacing="0" w:after="0" w:afterAutospacing="0"/>
      </w:pPr>
      <w:r>
        <w:rPr>
          <w:rFonts w:ascii="Arial" w:hAnsi="Arial" w:cs="Arial"/>
        </w:rPr>
        <w:t>In May 2004, the Company sponsored a Rule 144A ADR facility in connection with an offering pursuant to Rule 144A under the Securities Act (the _144A Facility_) by the Company to certain _qualified institutional buyers_ in the United States of ADSs represen</w:t>
      </w:r>
      <w:r>
        <w:rPr>
          <w:rFonts w:ascii="Arial" w:hAnsi="Arial" w:cs="Arial"/>
        </w:rPr>
        <w:t>ting 50,933,370 common shares (the _Rule 144A ADSs_). Also in May 2004, the Company sponsored a Regulation S ADR facility in connection with an offering on pursuant to Regulation S under the Securities Act (the _Regulation S Facility_) by the Company to no</w:t>
      </w:r>
      <w:r>
        <w:rPr>
          <w:rFonts w:ascii="Arial" w:hAnsi="Arial" w:cs="Arial"/>
        </w:rPr>
        <w:t xml:space="preserve">n-U.S. persons, as defined under Regulation S, outside the United States of ADSs representing 49,066,335 common shares (the _Regulation S ADSs_) . The Bank of New York Mellon is the depositary for the 144A Facility and the Regulation S Facility. </w:t>
      </w:r>
    </w:p>
    <w:p w:rsidR="00000000" w:rsidRDefault="003E5AFF">
      <w:pPr>
        <w:pStyle w:val="NormalWeb"/>
        <w:spacing w:before="120" w:beforeAutospacing="0" w:after="0" w:afterAutospacing="0"/>
      </w:pPr>
      <w:r>
        <w:rPr>
          <w:rFonts w:ascii="Arial" w:hAnsi="Arial" w:cs="Arial"/>
        </w:rPr>
        <w:t xml:space="preserve">The Rule </w:t>
      </w:r>
      <w:r>
        <w:rPr>
          <w:rFonts w:ascii="Arial" w:hAnsi="Arial" w:cs="Arial"/>
        </w:rPr>
        <w:t>144A Facility was closed to new deposits of common shares on April 26, 2012 and the deposit agreement for the 144A Facility was terminated in accordance with its terms. The deposit agreement for the former Regulation S Facility is being amended to become t</w:t>
      </w:r>
      <w:r>
        <w:rPr>
          <w:rFonts w:ascii="Arial" w:hAnsi="Arial" w:cs="Arial"/>
        </w:rPr>
        <w:t xml:space="preserve">he Deposit Agreement described in this section. Following the expiration of the rights offering, the former Regulation S ADSs will become fungible with the ADSs sold in this offering. </w:t>
      </w:r>
    </w:p>
    <w:p w:rsidR="00000000" w:rsidRDefault="003E5AFF">
      <w:pPr>
        <w:pStyle w:val="NormalWeb"/>
        <w:spacing w:before="240" w:beforeAutospacing="0" w:after="0" w:afterAutospacing="0"/>
      </w:pPr>
      <w:r>
        <w:rPr>
          <w:rFonts w:ascii="Arial" w:hAnsi="Arial" w:cs="Arial"/>
          <w:b/>
          <w:bCs/>
          <w:sz w:val="24"/>
          <w:szCs w:val="24"/>
        </w:rPr>
        <w:t xml:space="preserve">American depositary receipts </w:t>
      </w:r>
    </w:p>
    <w:p w:rsidR="00000000" w:rsidRDefault="003E5AFF">
      <w:pPr>
        <w:pStyle w:val="NormalWeb"/>
        <w:spacing w:before="120" w:beforeAutospacing="0" w:after="0" w:afterAutospacing="0"/>
      </w:pPr>
      <w:r>
        <w:rPr>
          <w:rFonts w:ascii="Arial" w:hAnsi="Arial" w:cs="Arial"/>
        </w:rPr>
        <w:t>The Bank of New York Mellon, as depositar</w:t>
      </w:r>
      <w:r>
        <w:rPr>
          <w:rFonts w:ascii="Arial" w:hAnsi="Arial" w:cs="Arial"/>
        </w:rPr>
        <w:t>y, will register and deliver American Depositary Shares, also referred to as ADSs. Each ADS will represent three shares (or a right to receive three shares) deposited with the principal Santiago office of Banco Santander Chile, as custodian for the deposit</w:t>
      </w:r>
      <w:r>
        <w:rPr>
          <w:rFonts w:ascii="Arial" w:hAnsi="Arial" w:cs="Arial"/>
        </w:rPr>
        <w:t>ary. Each ADS will also represent any other securities, cash or other property which may be held by the depositary. The depositary_s corporate trust office at which the ADSs will be administered is located at 101 Barclay Street, New York, New York 10286. T</w:t>
      </w:r>
      <w:r>
        <w:rPr>
          <w:rFonts w:ascii="Arial" w:hAnsi="Arial" w:cs="Arial"/>
        </w:rPr>
        <w:t xml:space="preserve">he Bank of New York Mellon_s principal executive office is located at One Wall Street, New York, New York 10286. </w:t>
      </w:r>
    </w:p>
    <w:p w:rsidR="00000000" w:rsidRDefault="003E5AFF">
      <w:pPr>
        <w:pStyle w:val="NormalWeb"/>
        <w:spacing w:before="120" w:beforeAutospacing="0" w:after="0" w:afterAutospacing="0"/>
      </w:pPr>
      <w:r>
        <w:rPr>
          <w:rFonts w:ascii="Arial" w:hAnsi="Arial" w:cs="Arial"/>
        </w:rPr>
        <w:t>You may hold ADSs either (A) directly (i) by having an American Depositary Receipt, also referred to as an ADR, which is a certificate evidenc</w:t>
      </w:r>
      <w:r>
        <w:rPr>
          <w:rFonts w:ascii="Arial" w:hAnsi="Arial" w:cs="Arial"/>
        </w:rPr>
        <w:t>ing a specific number of ADSs, registered in your name, or (ii) by having ADSs registered in your name in the Direct Registration System, or (B) indirectly by holding a security entitlement in ADSs through your broker or other financial institution. If you</w:t>
      </w:r>
      <w:r>
        <w:rPr>
          <w:rFonts w:ascii="Arial" w:hAnsi="Arial" w:cs="Arial"/>
        </w:rPr>
        <w:t xml:space="preserve"> hold ADSs directly, you are a registered ADS holder, also referred to as an ADS holder. This description assumes you are an ADS holder. If you hold the ADSs indirectly, you must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- 248 - </w:t>
      </w:r>
    </w:p>
    <w:p w:rsidR="00000000" w:rsidRDefault="003E5AFF">
      <w:pPr>
        <w:rPr>
          <w:rFonts w:eastAsia="Times New Roman" w:cs="Times New Roman"/>
        </w:rPr>
      </w:pPr>
      <w:r>
        <w:rPr>
          <w:rFonts w:eastAsia="Times New Roman" w:cs="Times New Roman"/>
        </w:rPr>
        <w:pict>
          <v:rect id="_x0000_i1285" style="width:441.9pt;height:3pt" o:hralign="center" o:hrstd="t" o:hrnoshade="t" o:hr="t" fillcolor="#999" stroked="f"/>
        </w:pict>
      </w:r>
    </w:p>
    <w:p w:rsidR="00000000" w:rsidRDefault="003E5AFF">
      <w:pPr>
        <w:pStyle w:val="Heading5"/>
        <w:rPr>
          <w:rFonts w:eastAsia="Times New Roman" w:cs="Times New Roman"/>
        </w:rPr>
      </w:pPr>
      <w:hyperlink r:id="rId30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rely on the procedures of your broker or other financial institution to assert the rights of ADS holders described in this section. You should consult with your broker or </w:t>
      </w:r>
      <w:r>
        <w:rPr>
          <w:rFonts w:ascii="Arial" w:hAnsi="Arial" w:cs="Arial"/>
        </w:rPr>
        <w:t xml:space="preserve">financial institution to find out what those procedures are. </w:t>
      </w:r>
    </w:p>
    <w:p w:rsidR="00000000" w:rsidRDefault="003E5AFF">
      <w:pPr>
        <w:pStyle w:val="NormalWeb"/>
        <w:spacing w:before="120" w:beforeAutospacing="0" w:after="0" w:afterAutospacing="0"/>
      </w:pPr>
      <w:r>
        <w:rPr>
          <w:rFonts w:ascii="Arial" w:hAnsi="Arial" w:cs="Arial"/>
        </w:rPr>
        <w:t>The Direct Registration System, or DRS, is a system administered by The Depository Trust Company, also referred to as DTC, pursuant to which the depositary may register the ownership of uncertif</w:t>
      </w:r>
      <w:r>
        <w:rPr>
          <w:rFonts w:ascii="Arial" w:hAnsi="Arial" w:cs="Arial"/>
        </w:rPr>
        <w:t xml:space="preserve">icated ADSs, which ownership is confirmed by periodic statements sent by the depositary to the registered holders of uncertificated ADSs. </w:t>
      </w:r>
    </w:p>
    <w:p w:rsidR="00000000" w:rsidRDefault="003E5AFF">
      <w:pPr>
        <w:pStyle w:val="NormalWeb"/>
        <w:spacing w:before="120" w:beforeAutospacing="0" w:after="0" w:afterAutospacing="0"/>
      </w:pPr>
      <w:r>
        <w:rPr>
          <w:rFonts w:ascii="Arial" w:hAnsi="Arial" w:cs="Arial"/>
        </w:rPr>
        <w:t xml:space="preserve">As an ADS holder, we will not treat you as one of our shareholders and you will not have shareholder rights. Chilean </w:t>
      </w:r>
      <w:r>
        <w:rPr>
          <w:rFonts w:ascii="Arial" w:hAnsi="Arial" w:cs="Arial"/>
        </w:rPr>
        <w:t>law governs shareholder rights. The depositary will be the holder of the shares underlying your ADSs. As a registered holder of ADSs, you will have ADS holder rights. A deposit agreement among us, the depositary and you, as an ADS holder, and all other per</w:t>
      </w:r>
      <w:r>
        <w:rPr>
          <w:rFonts w:ascii="Arial" w:hAnsi="Arial" w:cs="Arial"/>
        </w:rPr>
        <w:t xml:space="preserve">sons indirectly holding ADSs sets out ADS holder rights as well as the rights and obligations of the depositary. New York law governs the deposit agreement and the ADSs. </w:t>
      </w:r>
    </w:p>
    <w:p w:rsidR="00000000" w:rsidRDefault="003E5AFF">
      <w:pPr>
        <w:pStyle w:val="NormalWeb"/>
        <w:spacing w:before="240" w:beforeAutospacing="0" w:after="0" w:afterAutospacing="0"/>
      </w:pPr>
      <w:r>
        <w:rPr>
          <w:rFonts w:ascii="Arial" w:hAnsi="Arial" w:cs="Arial"/>
          <w:b/>
          <w:bCs/>
          <w:sz w:val="24"/>
          <w:szCs w:val="24"/>
        </w:rPr>
        <w:t xml:space="preserve">Share dividends and other distributions </w:t>
      </w:r>
    </w:p>
    <w:p w:rsidR="00000000" w:rsidRDefault="003E5AFF">
      <w:pPr>
        <w:pStyle w:val="NormalWeb"/>
        <w:spacing w:before="120" w:beforeAutospacing="0" w:after="0" w:afterAutospacing="0"/>
      </w:pPr>
      <w:r>
        <w:rPr>
          <w:rFonts w:ascii="Arial" w:hAnsi="Arial" w:cs="Arial"/>
        </w:rPr>
        <w:t>The Depositary is required, to the extent th</w:t>
      </w:r>
      <w:r>
        <w:rPr>
          <w:rFonts w:ascii="Arial" w:hAnsi="Arial" w:cs="Arial"/>
        </w:rPr>
        <w:t>at in its judgment it can convert Chilean pesos on a reasonable basis into U.S. dollars and transfer the U.S. dollars to the United States, and subject to Chilean law, to convert all cash dividends and other cash distributions that it receives in respect o</w:t>
      </w:r>
      <w:r>
        <w:rPr>
          <w:rFonts w:ascii="Arial" w:hAnsi="Arial" w:cs="Arial"/>
        </w:rPr>
        <w:t>f the deposited shares of Cencosud common stock into U.S. dollars and to distribute the amount thus received (net of the fees and any conversion expenses of the Depositary) to the holders of ADSs in proportion to the number of ADSs representing such shares</w:t>
      </w:r>
      <w:r>
        <w:rPr>
          <w:rFonts w:ascii="Arial" w:hAnsi="Arial" w:cs="Arial"/>
        </w:rPr>
        <w:t xml:space="preserve"> held by each of them. See _Exchange Controls._ The amount distributed also will be reduced by any amounts required to be withheld by us, the Depositary or the Custodian on account of taxes or other governmental charges. If the Depositary determines that i</w:t>
      </w:r>
      <w:r>
        <w:rPr>
          <w:rFonts w:ascii="Arial" w:hAnsi="Arial" w:cs="Arial"/>
        </w:rPr>
        <w:t xml:space="preserve">n its judgment any currency received by it cannot be so converted on a reasonable basis and transferred, the Depositary may distribute, or in its discretion hold, such foreign currency, without liability for interest thereon, for the respective account of </w:t>
      </w:r>
      <w:r>
        <w:rPr>
          <w:rFonts w:ascii="Arial" w:hAnsi="Arial" w:cs="Arial"/>
        </w:rPr>
        <w:t xml:space="preserve">the ADS holders entitled to receive the same. </w:t>
      </w:r>
    </w:p>
    <w:p w:rsidR="00000000" w:rsidRDefault="003E5AFF">
      <w:pPr>
        <w:pStyle w:val="NormalWeb"/>
        <w:spacing w:before="120" w:beforeAutospacing="0" w:after="0" w:afterAutospacing="0"/>
      </w:pPr>
      <w:r>
        <w:rPr>
          <w:rFonts w:ascii="Arial" w:hAnsi="Arial" w:cs="Arial"/>
        </w:rPr>
        <w:t xml:space="preserve">If a distribution upon the deposited shares of Cencosud common stock by us consists of a dividend in, or a free distribution of, shares of Cencosud common stock, upon receipt by or on behalf of the Depositary </w:t>
      </w:r>
      <w:r>
        <w:rPr>
          <w:rFonts w:ascii="Arial" w:hAnsi="Arial" w:cs="Arial"/>
        </w:rPr>
        <w:t>of such additional shares of Cencosud common stock from us, the Depositary may or shall, if we so request, distribute to the holders of ADSs, in proportion to their holdings, additional ADSs representing the number of shares of Cencosud common stock so rec</w:t>
      </w:r>
      <w:r>
        <w:rPr>
          <w:rFonts w:ascii="Arial" w:hAnsi="Arial" w:cs="Arial"/>
        </w:rPr>
        <w:t>eived as such dividend or distribution, in either case after deduction or payment of the fees and expenses of the Depositary. If such additional ADSs are not so issued, each ADS shall thereafter also represent the additional shares of Cencosud common stock</w:t>
      </w:r>
      <w:r>
        <w:rPr>
          <w:rFonts w:ascii="Arial" w:hAnsi="Arial" w:cs="Arial"/>
        </w:rPr>
        <w:t xml:space="preserve"> distributed with respect to the shares of Cencosud common stock represented thereby. In lieu of delivering fractions of ADSs, in any such case, the Depositary will sell the amount of shares of Cencosud common stock represented by the aggregate of such fra</w:t>
      </w:r>
      <w:r>
        <w:rPr>
          <w:rFonts w:ascii="Arial" w:hAnsi="Arial" w:cs="Arial"/>
        </w:rPr>
        <w:t xml:space="preserve">ctions and distribute the net proceeds in dollars, all in the manner and subject to the conditions set forth in the Deposit Agreement. </w:t>
      </w:r>
    </w:p>
    <w:p w:rsidR="00000000" w:rsidRDefault="003E5AFF">
      <w:pPr>
        <w:pStyle w:val="NormalWeb"/>
        <w:spacing w:before="120" w:beforeAutospacing="0" w:after="0" w:afterAutospacing="0"/>
      </w:pPr>
      <w:r>
        <w:rPr>
          <w:rFonts w:ascii="Arial" w:hAnsi="Arial" w:cs="Arial"/>
        </w:rPr>
        <w:t>If we offer or cause to be offered to the holders of shares of Cencosud common stock any rights to subscribe for additio</w:t>
      </w:r>
      <w:r>
        <w:rPr>
          <w:rFonts w:ascii="Arial" w:hAnsi="Arial" w:cs="Arial"/>
        </w:rPr>
        <w:t>nal shares of Cencosud common stock or any rights of any other nature, the Depositary, after consultation with us, shall have discretion as to the procedure to be followed in making such rights available to holders of ADSs or in disposing of such rights an</w:t>
      </w:r>
      <w:r>
        <w:rPr>
          <w:rFonts w:ascii="Arial" w:hAnsi="Arial" w:cs="Arial"/>
        </w:rPr>
        <w:t xml:space="preserve">d distributing the net proceeds thereof as in the case of a distribution received in cash. If at the time of the offering of any such rights the Depositary determines that it is lawful and feasible to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- 249 - </w:t>
      </w:r>
    </w:p>
    <w:p w:rsidR="00000000" w:rsidRDefault="003E5AFF">
      <w:pPr>
        <w:rPr>
          <w:rFonts w:eastAsia="Times New Roman" w:cs="Times New Roman"/>
        </w:rPr>
      </w:pPr>
      <w:r>
        <w:rPr>
          <w:rFonts w:eastAsia="Times New Roman" w:cs="Times New Roman"/>
        </w:rPr>
        <w:pict>
          <v:rect id="_x0000_i1286" style="width:441.9pt;height:3pt" o:hralign="center" o:hrstd="t" o:hrnoshade="t" o:hr="t" fillcolor="#999" stroked="f"/>
        </w:pict>
      </w:r>
    </w:p>
    <w:p w:rsidR="00000000" w:rsidRDefault="003E5AFF">
      <w:pPr>
        <w:pStyle w:val="Heading5"/>
        <w:rPr>
          <w:rFonts w:eastAsia="Times New Roman" w:cs="Times New Roman"/>
        </w:rPr>
      </w:pPr>
      <w:hyperlink r:id="rId30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do so, the Depositary may, </w:t>
      </w:r>
      <w:r>
        <w:rPr>
          <w:rFonts w:ascii="Arial" w:hAnsi="Arial" w:cs="Arial"/>
        </w:rPr>
        <w:t xml:space="preserve">after consultation with us, distribute such rights available to holders by means of warrants or otherwise. To the extent the Depositary determines, in its discretion, that it is not lawful or feasible to make the rights available, it may sell such rights, </w:t>
      </w:r>
      <w:r>
        <w:rPr>
          <w:rFonts w:ascii="Arial" w:hAnsi="Arial" w:cs="Arial"/>
        </w:rPr>
        <w:t>warrants or other instruments, if a market is available therefor, at public or private sale, at such place or places and upon such terms as the Depositary may deem proper and allocate the net proceeds of such sales, net of the fees and expenses of the Depo</w:t>
      </w:r>
      <w:r>
        <w:rPr>
          <w:rFonts w:ascii="Arial" w:hAnsi="Arial" w:cs="Arial"/>
        </w:rPr>
        <w:t>sitary, for the accounts of the holders of ADSs otherwise entitled thereto upon an averaged or other practicable basis without regard to any distinctions among such holders of ADSs because of exchange restrictions or the date of delivery of any ADRs or oth</w:t>
      </w:r>
      <w:r>
        <w:rPr>
          <w:rFonts w:ascii="Arial" w:hAnsi="Arial" w:cs="Arial"/>
        </w:rPr>
        <w:t>erwise. If, by the terms of the rights offering or by reason of applicable law, the Depositary may neither make such rights available to the holders nor dispose of such rights and distribute the net proceeds thereof, the Depositary shall allow the rights t</w:t>
      </w:r>
      <w:r>
        <w:rPr>
          <w:rFonts w:ascii="Arial" w:hAnsi="Arial" w:cs="Arial"/>
        </w:rPr>
        <w:t xml:space="preserve">o lapse. </w:t>
      </w:r>
    </w:p>
    <w:p w:rsidR="00000000" w:rsidRDefault="003E5AFF">
      <w:pPr>
        <w:pStyle w:val="NormalWeb"/>
        <w:spacing w:before="120" w:beforeAutospacing="0" w:after="0" w:afterAutospacing="0"/>
      </w:pPr>
      <w:r>
        <w:rPr>
          <w:rFonts w:ascii="Arial" w:hAnsi="Arial" w:cs="Arial"/>
        </w:rPr>
        <w:t>The Depositary will not offer such rights to the holders of ADSs unless both the rights and the securities to which the rights relate are either exempt from registration under the Securities Act or are registered under the Securities Act. If a ho</w:t>
      </w:r>
      <w:r>
        <w:rPr>
          <w:rFonts w:ascii="Arial" w:hAnsi="Arial" w:cs="Arial"/>
        </w:rPr>
        <w:t>lder of ADSs requests a distribution of warrants or other instruments, notwithstanding that there has been no such registration under the Securities Act, the Depositary will not effect the distribution unless it has received an opinion of our United States</w:t>
      </w:r>
      <w:r>
        <w:rPr>
          <w:rFonts w:ascii="Arial" w:hAnsi="Arial" w:cs="Arial"/>
        </w:rPr>
        <w:t xml:space="preserve"> counsel satisfactory to the Depositary upon which the Depositary may rely that the distribution is exempt from registration under the provisions of the Securities Act. However, we will have no obligation to file a registration statement under the Securiti</w:t>
      </w:r>
      <w:r>
        <w:rPr>
          <w:rFonts w:ascii="Arial" w:hAnsi="Arial" w:cs="Arial"/>
        </w:rPr>
        <w:t>es Act to make available to holders of ADSs any right to subscribe for or to purchase any securities. If an exemption from registration is not available and a registration statement is not filed, holders of ADSs will not be permitted to purchase such secur</w:t>
      </w:r>
      <w:r>
        <w:rPr>
          <w:rFonts w:ascii="Arial" w:hAnsi="Arial" w:cs="Arial"/>
        </w:rPr>
        <w:t xml:space="preserve">ities or otherwise exercise such rights and the Depositary may sell such rights for the account of such holders of ADSs as described in the preceding paragraph. Such a disposal of rights may reduce the proportionate equity interest in us of the holders of </w:t>
      </w:r>
      <w:r>
        <w:rPr>
          <w:rFonts w:ascii="Arial" w:hAnsi="Arial" w:cs="Arial"/>
        </w:rPr>
        <w:t xml:space="preserve">ADSs. </w:t>
      </w:r>
    </w:p>
    <w:p w:rsidR="00000000" w:rsidRDefault="003E5AFF">
      <w:pPr>
        <w:pStyle w:val="NormalWeb"/>
        <w:spacing w:before="120" w:beforeAutospacing="0" w:after="0" w:afterAutospacing="0"/>
      </w:pPr>
      <w:r>
        <w:rPr>
          <w:rFonts w:ascii="Arial" w:hAnsi="Arial" w:cs="Arial"/>
        </w:rPr>
        <w:t>The Depositary will send to you anything else we distribute on deposited securities by any means it thinks is legal, fair and practical. If it cannot make the distribution in that way, the Depositary has a choice. It may decide to sell what we distr</w:t>
      </w:r>
      <w:r>
        <w:rPr>
          <w:rFonts w:ascii="Arial" w:hAnsi="Arial" w:cs="Arial"/>
        </w:rPr>
        <w:t>ibuted and distribute the net proceeds, in the same way as it does with cash. Or, it may decide to hold what we distributed, in which cash ADSs will also represent the newly distributed property. However, the Depositary is not required to distribute any se</w:t>
      </w:r>
      <w:r>
        <w:rPr>
          <w:rFonts w:ascii="Arial" w:hAnsi="Arial" w:cs="Arial"/>
        </w:rPr>
        <w:t xml:space="preserve">curities (other than ADSs) to you unless it receives satisfactory evidence from us that it is legal to make that distribution. </w:t>
      </w:r>
    </w:p>
    <w:p w:rsidR="00000000" w:rsidRDefault="003E5AFF">
      <w:pPr>
        <w:pStyle w:val="NormalWeb"/>
        <w:spacing w:before="240" w:beforeAutospacing="0" w:after="0" w:afterAutospacing="0"/>
      </w:pPr>
      <w:r>
        <w:rPr>
          <w:rFonts w:ascii="Arial" w:hAnsi="Arial" w:cs="Arial"/>
          <w:b/>
          <w:bCs/>
          <w:sz w:val="24"/>
          <w:szCs w:val="24"/>
        </w:rPr>
        <w:t xml:space="preserve">Deposit, withdrawal and cancellation </w:t>
      </w:r>
    </w:p>
    <w:p w:rsidR="00000000" w:rsidRDefault="003E5AFF">
      <w:pPr>
        <w:pStyle w:val="NormalWeb"/>
        <w:spacing w:before="120" w:beforeAutospacing="0" w:after="0" w:afterAutospacing="0"/>
      </w:pPr>
      <w:r>
        <w:rPr>
          <w:rFonts w:ascii="Arial" w:hAnsi="Arial" w:cs="Arial"/>
          <w:b/>
          <w:bCs/>
          <w:i/>
          <w:iCs/>
        </w:rPr>
        <w:t xml:space="preserve">Issuance of ADSs </w:t>
      </w:r>
    </w:p>
    <w:p w:rsidR="00000000" w:rsidRDefault="003E5AFF">
      <w:pPr>
        <w:pStyle w:val="NormalWeb"/>
        <w:spacing w:before="120" w:beforeAutospacing="0" w:after="0" w:afterAutospacing="0"/>
      </w:pPr>
      <w:r>
        <w:rPr>
          <w:rFonts w:ascii="Arial" w:hAnsi="Arial" w:cs="Arial"/>
        </w:rPr>
        <w:t xml:space="preserve">The Depositary has agreed that, upon deposit with the Custodian of the requisite number of shares of Cencosud common stock and receipt of evidence satisfactory to it that the conditions to deposit described below have been met, and subject to the terms of </w:t>
      </w:r>
      <w:r>
        <w:rPr>
          <w:rFonts w:ascii="Arial" w:hAnsi="Arial" w:cs="Arial"/>
        </w:rPr>
        <w:t>the Deposit Agreement, the Depositary will deliver to, or upon the order of, the person or persons specified by the Depositary upon payment of the fees, governmental charges and taxes provided in the Deposit Agreement, the number of ADSs issuable in respec</w:t>
      </w:r>
      <w:r>
        <w:rPr>
          <w:rFonts w:ascii="Arial" w:hAnsi="Arial" w:cs="Arial"/>
        </w:rPr>
        <w:t xml:space="preserve">t of such deposit.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- 250 - </w:t>
      </w:r>
    </w:p>
    <w:p w:rsidR="00000000" w:rsidRDefault="003E5AFF">
      <w:pPr>
        <w:rPr>
          <w:rFonts w:eastAsia="Times New Roman" w:cs="Times New Roman"/>
        </w:rPr>
      </w:pPr>
      <w:r>
        <w:rPr>
          <w:rFonts w:eastAsia="Times New Roman" w:cs="Times New Roman"/>
        </w:rPr>
        <w:pict>
          <v:rect id="_x0000_i1287" style="width:441.9pt;height:3pt" o:hralign="center" o:hrstd="t" o:hrnoshade="t" o:hr="t" fillcolor="#999" stroked="f"/>
        </w:pict>
      </w:r>
    </w:p>
    <w:p w:rsidR="00000000" w:rsidRDefault="003E5AFF">
      <w:pPr>
        <w:pStyle w:val="Heading5"/>
        <w:rPr>
          <w:rFonts w:eastAsia="Times New Roman" w:cs="Times New Roman"/>
        </w:rPr>
      </w:pPr>
      <w:hyperlink r:id="rId30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i/>
          <w:iCs/>
        </w:rPr>
        <w:t xml:space="preserve">Cancellation and withdrawal of ADSs </w:t>
      </w:r>
    </w:p>
    <w:p w:rsidR="00000000" w:rsidRDefault="003E5AFF">
      <w:pPr>
        <w:pStyle w:val="NormalWeb"/>
        <w:spacing w:before="120" w:beforeAutospacing="0" w:after="0" w:afterAutospacing="0"/>
      </w:pPr>
      <w:r>
        <w:rPr>
          <w:rFonts w:ascii="Arial" w:hAnsi="Arial" w:cs="Arial"/>
        </w:rPr>
        <w:t xml:space="preserve">Upon surrender of ADSs at the Corporate Trust Office of the Depositary and payment of the fees of the </w:t>
      </w:r>
      <w:r>
        <w:rPr>
          <w:rFonts w:ascii="Arial" w:hAnsi="Arial" w:cs="Arial"/>
        </w:rPr>
        <w:t xml:space="preserve">Depositary and of the taxes and governmental charges, if any, provided for in the Deposit Agreement and subject to the terms thereof, ADS holders are entitled to delivery of the deposited shares of Cencosud common stock, any other property or documents of </w:t>
      </w:r>
      <w:r>
        <w:rPr>
          <w:rFonts w:ascii="Arial" w:hAnsi="Arial" w:cs="Arial"/>
        </w:rPr>
        <w:t xml:space="preserve">title at the time represented by the surrendered ADSs. </w:t>
      </w:r>
    </w:p>
    <w:p w:rsidR="00000000" w:rsidRDefault="003E5AFF">
      <w:pPr>
        <w:pStyle w:val="NormalWeb"/>
        <w:spacing w:before="120" w:beforeAutospacing="0" w:after="0" w:afterAutospacing="0"/>
      </w:pPr>
      <w:r>
        <w:rPr>
          <w:rFonts w:ascii="Arial" w:hAnsi="Arial" w:cs="Arial"/>
        </w:rPr>
        <w:t xml:space="preserve">Subject to the terms and conditions of the Deposit Agreement and any limitations established by the Depositary, the Depositary may deliver ADSs prior to the receipt of shares of Cencosud common stock </w:t>
      </w:r>
      <w:r>
        <w:rPr>
          <w:rFonts w:ascii="Arial" w:hAnsi="Arial" w:cs="Arial"/>
        </w:rPr>
        <w:t xml:space="preserve">(a _Pre-Release_) and may receive ADSs in lieu of shares of Cencosud common stock. Each Pre-Release shall be: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preceded or accompanied by a written representation and agreement from the person to whom ADSs are to be delivered that such person, or its customer,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owns the shares of Cencosud common stock or ADSs to be remitted, as the case may be,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assigns all beneficial right, title and interest in such shares of Cencosud common stock to the Depositary for the benefit of the owners of the ADSs,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agrees in effect to hold such shares of Cencosud common stock for the account of the Depositary until delivery of the same upon the Depositary_s request,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at all times fully collateralized (such collateral marked to market daily) with cash or such other collateral as the Depositary deems appropriate,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terminable by the Depositary on not more than five business days_ notice,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subject to such further indemnities and credit regulations as the Depositary reasonably deems appropriate. </w:t>
            </w:r>
          </w:p>
        </w:tc>
      </w:tr>
    </w:tbl>
    <w:p w:rsidR="00000000" w:rsidRDefault="003E5AFF">
      <w:pPr>
        <w:pStyle w:val="NormalWeb"/>
        <w:spacing w:before="120" w:beforeAutospacing="0" w:after="0" w:afterAutospacing="0"/>
      </w:pPr>
      <w:r>
        <w:rPr>
          <w:rFonts w:ascii="Arial" w:hAnsi="Arial" w:cs="Arial"/>
        </w:rPr>
        <w:t>The Depositary will limit the number of ADSs involved in such Pre-Release transactions so that the number of ADSs represented thereby will not, at a</w:t>
      </w:r>
      <w:r>
        <w:rPr>
          <w:rFonts w:ascii="Arial" w:hAnsi="Arial" w:cs="Arial"/>
        </w:rPr>
        <w:t xml:space="preserve">ny one time, exceed 30 percent of the total number of ADSs then outstanding; however, the Depositary reserves the right to change or disregard such limit from time to time as it deems appropriate. </w:t>
      </w:r>
    </w:p>
    <w:p w:rsidR="00000000" w:rsidRDefault="003E5AFF">
      <w:pPr>
        <w:pStyle w:val="NormalWeb"/>
        <w:spacing w:before="120" w:beforeAutospacing="0" w:after="0" w:afterAutospacing="0"/>
      </w:pPr>
      <w:r>
        <w:rPr>
          <w:rFonts w:ascii="Arial" w:hAnsi="Arial" w:cs="Arial"/>
        </w:rPr>
        <w:t>The Depositary shall not be required to accept for deposit</w:t>
      </w:r>
      <w:r>
        <w:rPr>
          <w:rFonts w:ascii="Arial" w:hAnsi="Arial" w:cs="Arial"/>
        </w:rPr>
        <w:t xml:space="preserve"> any shares of Cencosud common stock unless it receives evidence satisfactory to the Depositary that any approval, if required, has been granted by any governmental body in Chile that is then performing the function of the regulation of currency exchange. </w:t>
      </w:r>
    </w:p>
    <w:p w:rsidR="00000000" w:rsidRDefault="003E5AFF">
      <w:pPr>
        <w:pStyle w:val="NormalWeb"/>
        <w:spacing w:before="120" w:beforeAutospacing="0" w:after="0" w:afterAutospacing="0"/>
      </w:pPr>
      <w:r>
        <w:rPr>
          <w:rFonts w:ascii="Arial" w:hAnsi="Arial" w:cs="Arial"/>
        </w:rPr>
        <w:t>If the person proposing to deposit shares of Cencosud common stock is not domiciled or resident in Chile, the Custodian shall not accept those shares of Cencosud common stock unless it receives from or on behalf of that person sufficient evidence that the</w:t>
      </w:r>
      <w:r>
        <w:rPr>
          <w:rFonts w:ascii="Arial" w:hAnsi="Arial" w:cs="Arial"/>
        </w:rPr>
        <w:t xml:space="preserve"> shares of Cencosud common stock were purchased in full compliance with the foreign exchange regulations applicable to investments in Chile (either Chapter XIV of the Compendium of Foreign Exchange Regulation of the Central Bank or Decree Law 600 of 1974, </w:t>
      </w:r>
      <w:r>
        <w:rPr>
          <w:rFonts w:ascii="Arial" w:hAnsi="Arial" w:cs="Arial"/>
        </w:rPr>
        <w:t>as amended, and related agreements with the Foreign Investment Committee) and, if applicable, an instrument whereby that person assigns and transfers to the Depositary any rights it may have under Chilean regulations relating to currency exchange. Pursuant</w:t>
      </w:r>
      <w:r>
        <w:rPr>
          <w:rFonts w:ascii="Arial" w:hAnsi="Arial" w:cs="Arial"/>
        </w:rPr>
        <w:t xml:space="preserve"> to Chapter XIV of the Compendium of Foreign Exchange Regulations of the Central Bank, the Custodian and/or the Depositary must give notice to the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- 251 - </w:t>
      </w:r>
    </w:p>
    <w:p w:rsidR="00000000" w:rsidRDefault="003E5AFF">
      <w:pPr>
        <w:rPr>
          <w:rFonts w:eastAsia="Times New Roman" w:cs="Times New Roman"/>
        </w:rPr>
      </w:pPr>
      <w:r>
        <w:rPr>
          <w:rFonts w:eastAsia="Times New Roman" w:cs="Times New Roman"/>
        </w:rPr>
        <w:pict>
          <v:rect id="_x0000_i1288" style="width:441.9pt;height:3pt" o:hralign="center" o:hrstd="t" o:hrnoshade="t" o:hr="t" fillcolor="#999" stroked="f"/>
        </w:pict>
      </w:r>
    </w:p>
    <w:p w:rsidR="00000000" w:rsidRDefault="003E5AFF">
      <w:pPr>
        <w:pStyle w:val="Heading5"/>
        <w:rPr>
          <w:rFonts w:eastAsia="Times New Roman" w:cs="Times New Roman"/>
        </w:rPr>
      </w:pPr>
      <w:hyperlink r:id="rId30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Central Bank of Chile that the shares of Cencosud common stock have been deposited in exchange for ADSs. </w:t>
      </w:r>
    </w:p>
    <w:p w:rsidR="00000000" w:rsidRDefault="003E5AFF">
      <w:pPr>
        <w:pStyle w:val="NormalWeb"/>
        <w:spacing w:before="120" w:beforeAutospacing="0" w:after="0" w:afterAutospacing="0"/>
      </w:pPr>
      <w:r>
        <w:rPr>
          <w:rFonts w:ascii="Arial" w:hAnsi="Arial" w:cs="Arial"/>
        </w:rPr>
        <w:t>If required by the Deposi</w:t>
      </w:r>
      <w:r>
        <w:rPr>
          <w:rFonts w:ascii="Arial" w:hAnsi="Arial" w:cs="Arial"/>
        </w:rPr>
        <w:t>tary, shares of Cencosud common stock presented for deposit at any time, whether or not our transfer books or the transfer books of the Foreign Registrar, if applicable, are closed, must also be accompanied by an agreement or assignment, of other instrumen</w:t>
      </w:r>
      <w:r>
        <w:rPr>
          <w:rFonts w:ascii="Arial" w:hAnsi="Arial" w:cs="Arial"/>
        </w:rPr>
        <w:t>t satisfactory to the Depositary, which will provide for the prompt transfer to the Custodian of any dividend, or right to subscribe for additional shares of Cencosud common stock or to receive other property which any person in whose name the shares of Ce</w:t>
      </w:r>
      <w:r>
        <w:rPr>
          <w:rFonts w:ascii="Arial" w:hAnsi="Arial" w:cs="Arial"/>
        </w:rPr>
        <w:t xml:space="preserve">ncosud common stock are or have been recorded may thereafter receive upon or in respect of such deposited shares of Cencosud common stock, or in lieu thereof, such agreement of indemnity or other agreement as shall be satisfactory to the Depositary. </w:t>
      </w:r>
    </w:p>
    <w:p w:rsidR="00000000" w:rsidRDefault="003E5AFF">
      <w:pPr>
        <w:pStyle w:val="NormalWeb"/>
        <w:spacing w:before="120" w:beforeAutospacing="0" w:after="0" w:afterAutospacing="0"/>
      </w:pPr>
      <w:r>
        <w:rPr>
          <w:rFonts w:ascii="Arial" w:hAnsi="Arial" w:cs="Arial"/>
        </w:rPr>
        <w:t>At th</w:t>
      </w:r>
      <w:r>
        <w:rPr>
          <w:rFonts w:ascii="Arial" w:hAnsi="Arial" w:cs="Arial"/>
        </w:rPr>
        <w:t>e request, risk and expense of any person proposing to deposit shares of Cencosud common stock, and for the account of such person, the Depositary may receive certificates for shares of Cencosud common stock to be deposited, together with the other instrum</w:t>
      </w:r>
      <w:r>
        <w:rPr>
          <w:rFonts w:ascii="Arial" w:hAnsi="Arial" w:cs="Arial"/>
        </w:rPr>
        <w:t xml:space="preserve">ents herein specified, for the purpose of forwarding such share certificates to the Custodian for deposit hereunder. </w:t>
      </w:r>
    </w:p>
    <w:p w:rsidR="00000000" w:rsidRDefault="003E5AFF">
      <w:pPr>
        <w:pStyle w:val="NormalWeb"/>
        <w:spacing w:before="120" w:beforeAutospacing="0" w:after="0" w:afterAutospacing="0"/>
      </w:pPr>
      <w:r>
        <w:rPr>
          <w:rFonts w:ascii="Arial" w:hAnsi="Arial" w:cs="Arial"/>
        </w:rPr>
        <w:t>Upon each delivery to a Custodian of a certificate or certificates for shares of Cencosud common stock to be deposited hereunder, together</w:t>
      </w:r>
      <w:r>
        <w:rPr>
          <w:rFonts w:ascii="Arial" w:hAnsi="Arial" w:cs="Arial"/>
        </w:rPr>
        <w:t xml:space="preserve"> with the other documents above specified, such Custodian must, as soon as transfer and recordation can be accomplished, present such certificate or certificates to us or the Foreign Registrar, if applicable, for transfer and recordation of the shares of C</w:t>
      </w:r>
      <w:r>
        <w:rPr>
          <w:rFonts w:ascii="Arial" w:hAnsi="Arial" w:cs="Arial"/>
        </w:rPr>
        <w:t xml:space="preserve">encosud common stock being deposited in the name of the Depositary or its nominee or such Custodian or its nominee. </w:t>
      </w:r>
    </w:p>
    <w:p w:rsidR="00000000" w:rsidRDefault="003E5AFF">
      <w:pPr>
        <w:pStyle w:val="NormalWeb"/>
        <w:spacing w:before="120" w:beforeAutospacing="0" w:after="0" w:afterAutospacing="0"/>
      </w:pPr>
      <w:r>
        <w:rPr>
          <w:rFonts w:ascii="Arial" w:hAnsi="Arial" w:cs="Arial"/>
        </w:rPr>
        <w:t>In the event that Shares are to be redeemed and, as a result, Shares registered in the name of the Custodian are called for redemption by t</w:t>
      </w:r>
      <w:r>
        <w:rPr>
          <w:rFonts w:ascii="Arial" w:hAnsi="Arial" w:cs="Arial"/>
        </w:rPr>
        <w:t>he us, the Depositary will call for the redemption of ADSs (in aggregate number representing the number of Shares registered in the name of the Custodian called for redemption) and may adopt such method as it may deem equitable and practicable to select th</w:t>
      </w:r>
      <w:r>
        <w:rPr>
          <w:rFonts w:ascii="Arial" w:hAnsi="Arial" w:cs="Arial"/>
        </w:rPr>
        <w:t xml:space="preserve">e ADSs called for redemption. </w:t>
      </w:r>
    </w:p>
    <w:p w:rsidR="00000000" w:rsidRDefault="003E5AFF">
      <w:pPr>
        <w:pStyle w:val="NormalWeb"/>
        <w:spacing w:before="240" w:beforeAutospacing="0" w:after="0" w:afterAutospacing="0"/>
      </w:pPr>
      <w:r>
        <w:rPr>
          <w:rFonts w:ascii="Arial" w:hAnsi="Arial" w:cs="Arial"/>
          <w:b/>
          <w:bCs/>
          <w:sz w:val="24"/>
          <w:szCs w:val="24"/>
        </w:rPr>
        <w:t xml:space="preserve">Voting rights </w:t>
      </w:r>
    </w:p>
    <w:p w:rsidR="00000000" w:rsidRDefault="003E5AFF">
      <w:pPr>
        <w:pStyle w:val="NormalWeb"/>
        <w:spacing w:before="120" w:beforeAutospacing="0" w:after="0" w:afterAutospacing="0"/>
      </w:pPr>
      <w:r>
        <w:rPr>
          <w:rFonts w:ascii="Arial" w:hAnsi="Arial" w:cs="Arial"/>
        </w:rPr>
        <w:t>As soon as practicable after receipt of notice of any meeting or solicitation of consents or proxies of holder of shares of Cencosud common stock, as defined in the Deposit Agreement, if we so request, the Depo</w:t>
      </w:r>
      <w:r>
        <w:rPr>
          <w:rFonts w:ascii="Arial" w:hAnsi="Arial" w:cs="Arial"/>
        </w:rPr>
        <w:t xml:space="preserve">sitary has agreed to mail to holders of ADRs registered on the books of the Depositary a notice in English containing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such information as is contained in such notice,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 statement that each holder of ADSs at the close of business on a specified record date will be entitled, subject to any applicable provisions of Chilean law and our Bylaws to instruct the Depositary as to the exercise of the voting rights, if any, pertai</w:t>
            </w:r>
            <w:r>
              <w:rPr>
                <w:rFonts w:ascii="Arial" w:hAnsi="Arial" w:cs="Arial"/>
              </w:rPr>
              <w:t xml:space="preserve">ning to the amount of Cencosud common stock represented by such holders_ ADSs,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statement as to the manner in which such instructions may be given, including an express indication that instructions may be given to the Depositary to give a discretionary proxy to a person designated by us. </w:t>
            </w:r>
          </w:p>
        </w:tc>
      </w:tr>
    </w:tbl>
    <w:p w:rsidR="00000000" w:rsidRDefault="003E5AFF">
      <w:pPr>
        <w:pStyle w:val="NormalWeb"/>
        <w:spacing w:before="120" w:beforeAutospacing="0" w:after="0" w:afterAutospacing="0"/>
      </w:pPr>
      <w:r>
        <w:rPr>
          <w:rFonts w:ascii="Arial" w:hAnsi="Arial" w:cs="Arial"/>
        </w:rPr>
        <w:t>Upon the written request of a holder of ADSs</w:t>
      </w:r>
      <w:r>
        <w:rPr>
          <w:rFonts w:ascii="Arial" w:hAnsi="Arial" w:cs="Arial"/>
        </w:rPr>
        <w:t xml:space="preserve"> on such record date, received on or before the date established by the Depositary for such purpose, the Depositary has agreed to endeavor insofar as practicable to vote or cause to be voted the amount of shares of Cencosud common stock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- 252 - </w:t>
      </w:r>
    </w:p>
    <w:p w:rsidR="00000000" w:rsidRDefault="003E5AFF">
      <w:pPr>
        <w:rPr>
          <w:rFonts w:eastAsia="Times New Roman" w:cs="Times New Roman"/>
        </w:rPr>
      </w:pPr>
      <w:r>
        <w:rPr>
          <w:rFonts w:eastAsia="Times New Roman" w:cs="Times New Roman"/>
        </w:rPr>
        <w:pict>
          <v:rect id="_x0000_i1289" style="width:441.9pt;height:3pt" o:hralign="center" o:hrstd="t" o:hrnoshade="t" o:hr="t" fillcolor="#999" stroked="f"/>
        </w:pict>
      </w:r>
    </w:p>
    <w:p w:rsidR="00000000" w:rsidRDefault="003E5AFF">
      <w:pPr>
        <w:pStyle w:val="Heading5"/>
        <w:rPr>
          <w:rFonts w:eastAsia="Times New Roman" w:cs="Times New Roman"/>
        </w:rPr>
      </w:pPr>
      <w:hyperlink r:id="rId306"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represented by the ADSs in accordance with any instruction set forth in such request. If no instructions are received by the Depositary fro</w:t>
      </w:r>
      <w:r>
        <w:rPr>
          <w:rFonts w:ascii="Arial" w:hAnsi="Arial" w:cs="Arial"/>
        </w:rPr>
        <w:t>m a holder of ADSs with respect to any of the shares of Cencosud common stock represented by such holder_s ADSs on or before the date established by the Depositary for such purpose, the Depositary will give a discretionary proxy to a person designated by u</w:t>
      </w:r>
      <w:r>
        <w:rPr>
          <w:rFonts w:ascii="Arial" w:hAnsi="Arial" w:cs="Arial"/>
        </w:rPr>
        <w:t>s to vote the amount of shares of Cencosud common stock represented by those ADSs, unless we have notified the Depositary that (i) we do not wish such proxy given, (ii) we believe substantial shareholder opposition exists, or (iii) we believe the matter to</w:t>
      </w:r>
      <w:r>
        <w:rPr>
          <w:rFonts w:ascii="Arial" w:hAnsi="Arial" w:cs="Arial"/>
        </w:rPr>
        <w:t xml:space="preserve"> be voted on would have a material and adverse effect on the rights of holders of our shares. </w:t>
      </w:r>
    </w:p>
    <w:p w:rsidR="00000000" w:rsidRDefault="003E5AFF">
      <w:pPr>
        <w:pStyle w:val="NormalWeb"/>
        <w:spacing w:before="120" w:beforeAutospacing="0" w:after="0" w:afterAutospacing="0"/>
      </w:pPr>
      <w:r>
        <w:rPr>
          <w:rFonts w:ascii="Arial" w:hAnsi="Arial" w:cs="Arial"/>
        </w:rPr>
        <w:t xml:space="preserve">There are no legal or practical impediments to an ADS holder_s ability to vote that are not faced by holders of our shares of common stock except that there can </w:t>
      </w:r>
      <w:r>
        <w:rPr>
          <w:rFonts w:ascii="Arial" w:hAnsi="Arial" w:cs="Arial"/>
        </w:rPr>
        <w:t xml:space="preserve">be no assurance that we have request the Depositary to send the notice or that ADS holders will receive notice of meetings in time to instruct the Depositary before the applicable cutoff date. </w:t>
      </w:r>
    </w:p>
    <w:p w:rsidR="00000000" w:rsidRDefault="003E5AFF">
      <w:pPr>
        <w:pStyle w:val="NormalWeb"/>
        <w:spacing w:before="240" w:beforeAutospacing="0" w:after="0" w:afterAutospacing="0"/>
      </w:pPr>
      <w:r>
        <w:rPr>
          <w:rFonts w:ascii="Arial" w:hAnsi="Arial" w:cs="Arial"/>
          <w:b/>
          <w:bCs/>
          <w:sz w:val="24"/>
          <w:szCs w:val="24"/>
        </w:rPr>
        <w:t xml:space="preserve">Record dates </w:t>
      </w:r>
    </w:p>
    <w:p w:rsidR="00000000" w:rsidRDefault="003E5AFF">
      <w:pPr>
        <w:pStyle w:val="NormalWeb"/>
        <w:spacing w:before="120" w:beforeAutospacing="0" w:after="0" w:afterAutospacing="0"/>
      </w:pPr>
      <w:r>
        <w:rPr>
          <w:rFonts w:ascii="Arial" w:hAnsi="Arial" w:cs="Arial"/>
        </w:rPr>
        <w:t>Whenever any cash dividend or other cash distribution shall become payable or any distribution other than cash shall be made, or whenever rights shall be issued with respect to shares of Cencosud common stock or whenever the Depositary shall receive notice</w:t>
      </w:r>
      <w:r>
        <w:rPr>
          <w:rFonts w:ascii="Arial" w:hAnsi="Arial" w:cs="Arial"/>
        </w:rPr>
        <w:t xml:space="preserve"> of any meeting of holders of shares of Cencosud common stock or shareholders generally, the Depositary will fix a record date that will be the same as, or as near as practicable to the record date fixed by us with respect to the Cencosud common stock for </w:t>
      </w:r>
      <w:r>
        <w:rPr>
          <w:rFonts w:ascii="Arial" w:hAnsi="Arial" w:cs="Arial"/>
        </w:rPr>
        <w:t>the determination of the holders of ADSs who are entitled to receive such dividend, distribution or rights, or net proceeds of the sale thereof, or to give instructions for the exercise of voting rights at any such meeting, subject to the provisions of the</w:t>
      </w:r>
      <w:r>
        <w:rPr>
          <w:rFonts w:ascii="Arial" w:hAnsi="Arial" w:cs="Arial"/>
        </w:rPr>
        <w:t xml:space="preserve"> Deposit Agreement. Subject to the Deposit Agreement, only such holders of ADSs at the close of business on such record date shall be entitled to receive or be affected by any such dividend, distribution, proceeds, exchange or other matter or to give such </w:t>
      </w:r>
      <w:r>
        <w:rPr>
          <w:rFonts w:ascii="Arial" w:hAnsi="Arial" w:cs="Arial"/>
        </w:rPr>
        <w:t xml:space="preserve">voting instructions. </w:t>
      </w:r>
    </w:p>
    <w:p w:rsidR="00000000" w:rsidRDefault="003E5AFF">
      <w:pPr>
        <w:pStyle w:val="NormalWeb"/>
        <w:spacing w:before="120" w:beforeAutospacing="0" w:after="0" w:afterAutospacing="0"/>
      </w:pPr>
      <w:r>
        <w:rPr>
          <w:rFonts w:ascii="Arial" w:hAnsi="Arial" w:cs="Arial"/>
        </w:rPr>
        <w:t>In the event that the record date determined by the Depositary (the _ADS Record Date_) and that established by us (the _Common Stock Record Date_) are not the same, ADS holders on the Common Stock Record Date who dispose of their ADSs</w:t>
      </w:r>
      <w:r>
        <w:rPr>
          <w:rFonts w:ascii="Arial" w:hAnsi="Arial" w:cs="Arial"/>
        </w:rPr>
        <w:t xml:space="preserve"> prior to the ADS Record Date will not receive dividends paid in respect of the shares of Cencosud common stock represented by such holder_s ADSs on the Common Stock Record Date. </w:t>
      </w:r>
    </w:p>
    <w:p w:rsidR="00000000" w:rsidRDefault="003E5AFF">
      <w:pPr>
        <w:pStyle w:val="NormalWeb"/>
        <w:spacing w:before="240" w:beforeAutospacing="0" w:after="0" w:afterAutospacing="0"/>
      </w:pPr>
      <w:r>
        <w:rPr>
          <w:rFonts w:ascii="Arial" w:hAnsi="Arial" w:cs="Arial"/>
          <w:b/>
          <w:bCs/>
          <w:sz w:val="24"/>
          <w:szCs w:val="24"/>
        </w:rPr>
        <w:t xml:space="preserve">Reports and other communications </w:t>
      </w:r>
    </w:p>
    <w:p w:rsidR="00000000" w:rsidRDefault="003E5AFF">
      <w:pPr>
        <w:pStyle w:val="NormalWeb"/>
        <w:spacing w:before="120" w:beforeAutospacing="0" w:after="0" w:afterAutospacing="0"/>
      </w:pPr>
      <w:r>
        <w:rPr>
          <w:rFonts w:ascii="Arial" w:hAnsi="Arial" w:cs="Arial"/>
        </w:rPr>
        <w:t>The Depositary will maintain at its transfer office in the Borough of Manhattan, the City of New York, facilities for the execution and delivery, registration of transfers and surrender of ADSs, in accordance with the provisions of the Deposit Agreement, w</w:t>
      </w:r>
      <w:r>
        <w:rPr>
          <w:rFonts w:ascii="Arial" w:hAnsi="Arial" w:cs="Arial"/>
        </w:rPr>
        <w:t>hich at reasonable times will be open for our inspection and inspection by the holders of ADSs, provided that such inspection shall not be for the purpose of communication with holders of ADSs in the interest of a business or object other than our business</w:t>
      </w:r>
      <w:r>
        <w:rPr>
          <w:rFonts w:ascii="Arial" w:hAnsi="Arial" w:cs="Arial"/>
        </w:rPr>
        <w:t xml:space="preserve"> or a matter related to the Deposit Agreement or the ADSs. </w:t>
      </w:r>
    </w:p>
    <w:p w:rsidR="00000000" w:rsidRDefault="003E5AFF">
      <w:pPr>
        <w:pStyle w:val="NormalWeb"/>
        <w:spacing w:before="120" w:beforeAutospacing="0" w:after="0" w:afterAutospacing="0"/>
      </w:pPr>
      <w:r>
        <w:rPr>
          <w:rFonts w:ascii="Arial" w:hAnsi="Arial" w:cs="Arial"/>
        </w:rPr>
        <w:t>We will transmit to the Depositary copies (translated into English) of any communications generally distributed to holders of Cencosud common stock. The Depositary will make available for inspecti</w:t>
      </w:r>
      <w:r>
        <w:rPr>
          <w:rFonts w:ascii="Arial" w:hAnsi="Arial" w:cs="Arial"/>
        </w:rPr>
        <w:t xml:space="preserve">on by ADS holders at the Corporate Trust Office of the Depositary any reports and communications, including any material soliciting voting instructions, received from us that are both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received by the Depositary or the Custodian or the nominee</w:t>
            </w:r>
            <w:r>
              <w:rPr>
                <w:rFonts w:ascii="Arial" w:hAnsi="Arial" w:cs="Arial"/>
              </w:rPr>
              <w:t xml:space="preserve"> of either as a holder of shares of Cencosud common stock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made generally available to the holders of shares of Cencosud common stock by us.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- 253 - </w:t>
      </w:r>
    </w:p>
    <w:p w:rsidR="00000000" w:rsidRDefault="003E5AFF">
      <w:pPr>
        <w:rPr>
          <w:rFonts w:eastAsia="Times New Roman" w:cs="Times New Roman"/>
        </w:rPr>
      </w:pPr>
      <w:r>
        <w:rPr>
          <w:rFonts w:eastAsia="Times New Roman" w:cs="Times New Roman"/>
        </w:rPr>
        <w:pict>
          <v:rect id="_x0000_i1290" style="width:441.9pt;height:3pt" o:hralign="center" o:hrstd="t" o:hrnoshade="t" o:hr="t" fillcolor="#999" stroked="f"/>
        </w:pict>
      </w:r>
    </w:p>
    <w:p w:rsidR="00000000" w:rsidRDefault="003E5AFF">
      <w:pPr>
        <w:pStyle w:val="Heading5"/>
        <w:rPr>
          <w:rFonts w:eastAsia="Times New Roman" w:cs="Times New Roman"/>
        </w:rPr>
      </w:pPr>
      <w:hyperlink r:id="rId30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The Depositary will also send to ADS holders copies of such reports when furnished by us as provided in the Deposit Agreement. </w:t>
      </w:r>
    </w:p>
    <w:p w:rsidR="00000000" w:rsidRDefault="003E5AFF">
      <w:pPr>
        <w:pStyle w:val="NormalWeb"/>
        <w:spacing w:before="120" w:beforeAutospacing="0" w:after="0" w:afterAutospacing="0"/>
      </w:pPr>
      <w:r>
        <w:rPr>
          <w:rFonts w:ascii="Arial" w:hAnsi="Arial" w:cs="Arial"/>
        </w:rPr>
        <w:t>On or b</w:t>
      </w:r>
      <w:r>
        <w:rPr>
          <w:rFonts w:ascii="Arial" w:hAnsi="Arial" w:cs="Arial"/>
        </w:rPr>
        <w:t>efore the first date on which we give notice, by publication or otherwise, of any meeting of the holders of shares of Cencosud common stock or shareholders generally, or of any adjourned meeting of such holders, or of the taking of any action in respect of</w:t>
      </w:r>
      <w:r>
        <w:rPr>
          <w:rFonts w:ascii="Arial" w:hAnsi="Arial" w:cs="Arial"/>
        </w:rPr>
        <w:t xml:space="preserve"> any cash or other distributions or offering of any rights, we shall transmit to the Depositary and the Custodian a written English-language version of the notice thereof in the form given or to be given to holders of shares of Cencosud common stock. The D</w:t>
      </w:r>
      <w:r>
        <w:rPr>
          <w:rFonts w:ascii="Arial" w:hAnsi="Arial" w:cs="Arial"/>
        </w:rPr>
        <w:t xml:space="preserve">epositary will, if we request, at our expense, arrange for the mailing of such notices to all ADR holders. </w:t>
      </w:r>
    </w:p>
    <w:p w:rsidR="00000000" w:rsidRDefault="003E5AFF">
      <w:pPr>
        <w:pStyle w:val="NormalWeb"/>
        <w:spacing w:before="240" w:beforeAutospacing="0" w:after="0" w:afterAutospacing="0"/>
      </w:pPr>
      <w:r>
        <w:rPr>
          <w:rFonts w:ascii="Arial" w:hAnsi="Arial" w:cs="Arial"/>
          <w:b/>
          <w:bCs/>
          <w:sz w:val="24"/>
          <w:szCs w:val="24"/>
        </w:rPr>
        <w:t xml:space="preserve">Fees and expenses </w:t>
      </w:r>
    </w:p>
    <w:p w:rsidR="00000000" w:rsidRDefault="003E5AFF">
      <w:pPr>
        <w:pStyle w:val="NormalWeb"/>
        <w:spacing w:before="0" w:beforeAutospacing="0" w:after="0" w:afterAutospacing="0"/>
        <w:rPr>
          <w:sz w:val="12"/>
          <w:szCs w:val="12"/>
        </w:rPr>
      </w:pPr>
      <w:r>
        <w:rPr>
          <w:sz w:val="12"/>
          <w:szCs w:val="12"/>
        </w:rPr>
        <w:t> </w:t>
      </w:r>
    </w:p>
    <w:tbl>
      <w:tblPr>
        <w:tblW w:w="5000" w:type="pct"/>
        <w:jc w:val="center"/>
        <w:tblCellMar>
          <w:left w:w="0" w:type="dxa"/>
          <w:right w:w="0" w:type="dxa"/>
        </w:tblCellMar>
        <w:tblLook w:val="04A0" w:firstRow="1" w:lastRow="0" w:firstColumn="1" w:lastColumn="0" w:noHBand="0" w:noVBand="1"/>
      </w:tblPr>
      <w:tblGrid>
        <w:gridCol w:w="4236"/>
        <w:gridCol w:w="166"/>
        <w:gridCol w:w="3904"/>
      </w:tblGrid>
      <w:tr w:rsidR="00000000">
        <w:trPr>
          <w:jc w:val="center"/>
        </w:trPr>
        <w:tc>
          <w:tcPr>
            <w:tcW w:w="2550" w:type="pct"/>
            <w:vAlign w:val="center"/>
            <w:hideMark/>
          </w:tcPr>
          <w:p w:rsidR="00000000" w:rsidRDefault="003E5AFF">
            <w:pPr>
              <w:rPr>
                <w:rFonts w:eastAsia="Times New Roman" w:cs="Times New Roman"/>
              </w:rPr>
            </w:pPr>
          </w:p>
        </w:tc>
        <w:tc>
          <w:tcPr>
            <w:tcW w:w="100" w:type="pct"/>
            <w:vAlign w:val="bottom"/>
            <w:hideMark/>
          </w:tcPr>
          <w:p w:rsidR="00000000" w:rsidRDefault="003E5AFF">
            <w:pPr>
              <w:rPr>
                <w:rFonts w:eastAsia="Times New Roman" w:cs="Times New Roman"/>
              </w:rPr>
            </w:pPr>
          </w:p>
        </w:tc>
        <w:tc>
          <w:tcPr>
            <w:tcW w:w="2350" w:type="pct"/>
            <w:vAlign w:val="center"/>
            <w:hideMark/>
          </w:tcPr>
          <w:p w:rsidR="00000000" w:rsidRDefault="003E5AFF">
            <w:pPr>
              <w:rPr>
                <w:rFonts w:eastAsia="Times New Roman" w:cs="Times New Roman"/>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b/>
                <w:bCs/>
                <w:i/>
                <w:iCs/>
              </w:rPr>
              <w:t>Persons depositing or withdrawing shares or</w:t>
            </w:r>
            <w:r>
              <w:rPr>
                <w:rFonts w:ascii="Arial" w:eastAsia="Times New Roman" w:hAnsi="Arial" w:cs="Arial"/>
                <w:b/>
                <w:bCs/>
                <w:i/>
                <w:iCs/>
              </w:rPr>
              <w:br/>
              <w:t>ADS holders must pay</w:t>
            </w:r>
            <w:r>
              <w:rPr>
                <w:rFonts w:ascii="Arial" w:eastAsia="Times New Roman" w:hAnsi="Arial" w:cs="Arial"/>
                <w:b/>
                <w:bCs/>
              </w:rPr>
              <w:t>:</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rPr>
                <w:rFonts w:eastAsia="Times New Roman" w:cs="Times New Roman"/>
              </w:rPr>
            </w:pPr>
            <w:r>
              <w:rPr>
                <w:rFonts w:ascii="Arial" w:eastAsia="Times New Roman" w:hAnsi="Arial" w:cs="Arial"/>
                <w:b/>
                <w:bCs/>
                <w:i/>
                <w:iCs/>
              </w:rPr>
              <w:t>For</w:t>
            </w:r>
            <w:r>
              <w:rPr>
                <w:rFonts w:ascii="Arial" w:eastAsia="Times New Roman" w:hAnsi="Arial" w:cs="Arial"/>
                <w:b/>
                <w:bCs/>
              </w:rPr>
              <w:t>:</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2"/>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$5.00 (or less) per 100 ADSs (or portion of 100 ADSs)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spacing w:before="0" w:beforeAutospacing="0" w:after="0" w:afterAutospacing="0"/>
              <w:ind w:left="240" w:hanging="240"/>
            </w:pPr>
            <w:r>
              <w:rPr>
                <w:rFonts w:ascii="Arial" w:hAnsi="Arial" w:cs="Arial"/>
              </w:rPr>
              <w:t>_ Issuance of ADSs, including issuances resulting from a distribution of shares or rights or other property</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spacing w:before="0" w:beforeAutospacing="0" w:after="15" w:afterAutospacing="0"/>
              <w:ind w:left="240" w:hanging="240"/>
            </w:pPr>
            <w:r>
              <w:rPr>
                <w:rFonts w:ascii="Arial" w:hAnsi="Arial" w:cs="Arial"/>
              </w:rPr>
              <w:t xml:space="preserve">_ Cancellation of </w:t>
            </w:r>
            <w:r>
              <w:rPr>
                <w:rFonts w:ascii="Arial" w:hAnsi="Arial" w:cs="Arial"/>
              </w:rPr>
              <w:t>ADSs for the purpose of withdrawal, including if the Deposit Agreement terminates or if ADSs are redeemed</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2"/>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$.05 (or less) per ADS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ind w:left="240" w:hanging="240"/>
            </w:pPr>
            <w:r>
              <w:rPr>
                <w:rFonts w:ascii="Arial" w:hAnsi="Arial" w:cs="Arial"/>
              </w:rPr>
              <w:t>_ Any cash distribution to ADS holders</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2"/>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A fee equivalent to the fee that would be payable if securities distributed to you had been shares and the shares had been deposited for issuance of ADSs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ind w:left="240" w:hanging="240"/>
            </w:pPr>
            <w:r>
              <w:rPr>
                <w:rFonts w:ascii="Arial" w:hAnsi="Arial" w:cs="Arial"/>
              </w:rPr>
              <w:t>_ Distribution of securities distributed to holders of deposited securities which are distributed</w:t>
            </w:r>
            <w:r>
              <w:rPr>
                <w:rFonts w:ascii="Arial" w:hAnsi="Arial" w:cs="Arial"/>
              </w:rPr>
              <w:t xml:space="preserve"> by the Depositary to ADS holders</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2"/>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$.05 (or less) per ADSs per calendar year</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ind w:left="240" w:hanging="240"/>
            </w:pPr>
            <w:r>
              <w:rPr>
                <w:rFonts w:ascii="Arial" w:hAnsi="Arial" w:cs="Arial"/>
              </w:rPr>
              <w:t>_ Depositary services</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2"/>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Registration or transfer fees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ind w:left="240" w:hanging="240"/>
            </w:pPr>
            <w:r>
              <w:rPr>
                <w:rFonts w:ascii="Arial" w:hAnsi="Arial" w:cs="Arial"/>
              </w:rPr>
              <w:t>_ </w:t>
            </w:r>
            <w:r>
              <w:rPr>
                <w:rFonts w:ascii="Arial" w:hAnsi="Arial" w:cs="Arial"/>
              </w:rPr>
              <w:t>Transfer and registration of shares on our share register to or from the name of the Depositary or its agent when you deposit or withdraw shares</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2"/>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Expenses of the Depositary</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spacing w:before="0" w:beforeAutospacing="0" w:after="0" w:afterAutospacing="0"/>
              <w:ind w:left="240" w:hanging="240"/>
            </w:pPr>
            <w:r>
              <w:rPr>
                <w:rFonts w:ascii="Arial" w:hAnsi="Arial" w:cs="Arial"/>
              </w:rPr>
              <w:t xml:space="preserve">_ Cable, telex and facsimile transmissions (when expressly provided </w:t>
            </w:r>
            <w:r>
              <w:rPr>
                <w:rFonts w:ascii="Arial" w:hAnsi="Arial" w:cs="Arial"/>
              </w:rPr>
              <w:t>in the deposit agreement)</w:t>
            </w:r>
          </w:p>
          <w:p w:rsidR="00000000" w:rsidRDefault="003E5AFF">
            <w:pPr>
              <w:pStyle w:val="NormalWeb"/>
              <w:spacing w:before="0" w:beforeAutospacing="0" w:after="0" w:afterAutospacing="0"/>
              <w:rPr>
                <w:sz w:val="12"/>
                <w:szCs w:val="12"/>
              </w:rPr>
            </w:pPr>
            <w:r>
              <w:rPr>
                <w:sz w:val="12"/>
                <w:szCs w:val="12"/>
              </w:rPr>
              <w:t> </w:t>
            </w:r>
          </w:p>
          <w:p w:rsidR="00000000" w:rsidRDefault="003E5AFF">
            <w:pPr>
              <w:pStyle w:val="NormalWeb"/>
              <w:spacing w:before="0" w:beforeAutospacing="0" w:after="15" w:afterAutospacing="0"/>
              <w:ind w:left="240" w:hanging="240"/>
            </w:pPr>
            <w:r>
              <w:rPr>
                <w:rFonts w:ascii="Arial" w:hAnsi="Arial" w:cs="Arial"/>
              </w:rPr>
              <w:t>_ converting foreign currency to U.S. dollars</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2"/>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Taxes and other governmental charges the depositary or the custodian have to pay on any ADS or share underlying an ADS, for example, stock transfer taxes, stamp duty or withholding taxes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ind w:left="240" w:hanging="240"/>
            </w:pPr>
            <w:r>
              <w:rPr>
                <w:rFonts w:ascii="Arial" w:hAnsi="Arial" w:cs="Arial"/>
              </w:rPr>
              <w:t>_ As necessary</w:t>
            </w:r>
          </w:p>
        </w:tc>
      </w:tr>
      <w:tr w:rsidR="00000000">
        <w:trPr>
          <w:trHeight w:val="160"/>
          <w:jc w:val="center"/>
        </w:trPr>
        <w:tc>
          <w:tcPr>
            <w:tcW w:w="0" w:type="auto"/>
            <w:vAlign w:val="center"/>
            <w:hideMark/>
          </w:tcPr>
          <w:p w:rsidR="00000000" w:rsidRDefault="003E5AFF">
            <w:pPr>
              <w:rPr>
                <w:rFonts w:eastAsia="Times New Roman" w:cs="Times New Roman"/>
                <w:sz w:val="16"/>
              </w:rPr>
            </w:pPr>
          </w:p>
        </w:tc>
        <w:tc>
          <w:tcPr>
            <w:tcW w:w="0" w:type="auto"/>
            <w:gridSpan w:val="2"/>
            <w:vAlign w:val="center"/>
            <w:hideMark/>
          </w:tcPr>
          <w:p w:rsidR="00000000" w:rsidRDefault="003E5AFF">
            <w:pPr>
              <w:rPr>
                <w:rFonts w:eastAsia="Times New Roman" w:cs="Times New Roman"/>
                <w:sz w:val="16"/>
              </w:rPr>
            </w:pPr>
          </w:p>
        </w:tc>
      </w:tr>
      <w:tr w:rsidR="00000000">
        <w:trPr>
          <w:jc w:val="center"/>
        </w:trPr>
        <w:tc>
          <w:tcPr>
            <w:tcW w:w="0" w:type="auto"/>
            <w:hideMark/>
          </w:tcPr>
          <w:p w:rsidR="00000000" w:rsidRDefault="003E5AFF">
            <w:pPr>
              <w:rPr>
                <w:rFonts w:eastAsia="Times New Roman" w:cs="Times New Roman"/>
              </w:rPr>
            </w:pPr>
            <w:r>
              <w:rPr>
                <w:rFonts w:ascii="Arial" w:eastAsia="Times New Roman" w:hAnsi="Arial" w:cs="Arial"/>
              </w:rPr>
              <w:t>Any charges incurred by the Depositary or its agents for servicing the deposited securities</w:t>
            </w:r>
          </w:p>
        </w:tc>
        <w:tc>
          <w:tcPr>
            <w:tcW w:w="0" w:type="auto"/>
            <w:vAlign w:val="bottom"/>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ind w:left="240" w:hanging="240"/>
            </w:pPr>
            <w:r>
              <w:rPr>
                <w:rFonts w:ascii="Arial" w:hAnsi="Arial" w:cs="Arial"/>
              </w:rPr>
              <w:t>_ As necessary</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- 254 - </w:t>
      </w:r>
    </w:p>
    <w:p w:rsidR="00000000" w:rsidRDefault="003E5AFF">
      <w:pPr>
        <w:rPr>
          <w:rFonts w:eastAsia="Times New Roman" w:cs="Times New Roman"/>
        </w:rPr>
      </w:pPr>
      <w:r>
        <w:rPr>
          <w:rFonts w:eastAsia="Times New Roman" w:cs="Times New Roman"/>
        </w:rPr>
        <w:pict>
          <v:rect id="_x0000_i1291" style="width:441.9pt;height:3pt" o:hralign="center" o:hrstd="t" o:hrnoshade="t" o:hr="t" fillcolor="#999" stroked="f"/>
        </w:pict>
      </w:r>
    </w:p>
    <w:p w:rsidR="00000000" w:rsidRDefault="003E5AFF">
      <w:pPr>
        <w:pStyle w:val="Heading5"/>
        <w:rPr>
          <w:rFonts w:eastAsia="Times New Roman" w:cs="Times New Roman"/>
        </w:rPr>
      </w:pPr>
      <w:hyperlink r:id="rId308"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The Depositary collects its fees for delivery and surrender of ADSs directly from investors dep</w:t>
      </w:r>
      <w:r>
        <w:rPr>
          <w:rFonts w:ascii="Arial" w:hAnsi="Arial" w:cs="Arial"/>
        </w:rPr>
        <w:t>ositing shares or surrendering ADSs for the purpose of withdrawal or from intermediaries acting for them. The Depositary collects fees for making distributions to investors by deducting those fees from the amounts distributed or by selling a portion of dis</w:t>
      </w:r>
      <w:r>
        <w:rPr>
          <w:rFonts w:ascii="Arial" w:hAnsi="Arial" w:cs="Arial"/>
        </w:rPr>
        <w:t xml:space="preserve">tributable property to pay the fees. The Depositary may collect its annual fee for depositary services by deduction from cash distributions or by directly billing investors or by charging the book-entry system accounts of participants acting for them. The </w:t>
      </w:r>
      <w:r>
        <w:rPr>
          <w:rFonts w:ascii="Arial" w:hAnsi="Arial" w:cs="Arial"/>
        </w:rPr>
        <w:t xml:space="preserve">Depositary may generally refuse to provide fee-attracting services until its fees for those services are paid. </w:t>
      </w:r>
    </w:p>
    <w:p w:rsidR="00000000" w:rsidRDefault="003E5AFF">
      <w:pPr>
        <w:pStyle w:val="NormalWeb"/>
        <w:spacing w:before="120" w:beforeAutospacing="0" w:after="0" w:afterAutospacing="0"/>
      </w:pPr>
      <w:r>
        <w:rPr>
          <w:rFonts w:ascii="Arial" w:hAnsi="Arial" w:cs="Arial"/>
        </w:rPr>
        <w:t>From time to time, the Depositary may make payments to us to reimburse and / or share revenue from the fees collected from ADS holders, or waive</w:t>
      </w:r>
      <w:r>
        <w:rPr>
          <w:rFonts w:ascii="Arial" w:hAnsi="Arial" w:cs="Arial"/>
        </w:rPr>
        <w:t xml:space="preserve"> fees and expenses for services provided, generally relating to costs and expenses arising out of establishment and maintenance of the ADS program. In performing its duties under the Deposit Agreement, the Depositary may use brokers, dealers or other servi</w:t>
      </w:r>
      <w:r>
        <w:rPr>
          <w:rFonts w:ascii="Arial" w:hAnsi="Arial" w:cs="Arial"/>
        </w:rPr>
        <w:t xml:space="preserve">ce providers that are affiliates of the Depositary and that may earn or share fees or commissions. </w:t>
      </w:r>
    </w:p>
    <w:p w:rsidR="00000000" w:rsidRDefault="003E5AFF">
      <w:pPr>
        <w:pStyle w:val="NormalWeb"/>
        <w:spacing w:before="240" w:beforeAutospacing="0" w:after="0" w:afterAutospacing="0"/>
      </w:pPr>
      <w:r>
        <w:rPr>
          <w:rFonts w:ascii="Arial" w:hAnsi="Arial" w:cs="Arial"/>
          <w:b/>
          <w:bCs/>
          <w:sz w:val="24"/>
          <w:szCs w:val="24"/>
        </w:rPr>
        <w:t xml:space="preserve">Payment of taxes </w:t>
      </w:r>
    </w:p>
    <w:p w:rsidR="00000000" w:rsidRDefault="003E5AFF">
      <w:pPr>
        <w:pStyle w:val="NormalWeb"/>
        <w:spacing w:before="120" w:beforeAutospacing="0" w:after="0" w:afterAutospacing="0"/>
      </w:pPr>
      <w:r>
        <w:rPr>
          <w:rFonts w:ascii="Arial" w:hAnsi="Arial" w:cs="Arial"/>
        </w:rPr>
        <w:t xml:space="preserve">If any tax or governmental charge becomes payable with respect to any ADS or any shares of Cencosud common stock represented by any ADSs, </w:t>
      </w:r>
      <w:r>
        <w:rPr>
          <w:rFonts w:ascii="Arial" w:hAnsi="Arial" w:cs="Arial"/>
        </w:rPr>
        <w:t>including without limiting the generality of the foregoing any Chilean tax on a gain realized, or deemed to be realized, upon the withdrawal or sale of shares of Cencosud common stock, such tax or other governmental charge will be payable to the Depositary</w:t>
      </w:r>
      <w:r>
        <w:rPr>
          <w:rFonts w:ascii="Arial" w:hAnsi="Arial" w:cs="Arial"/>
        </w:rPr>
        <w:t xml:space="preserve"> by the holder of the ADSs, who must pay the amount thereof to the Depositary upon demand. The Depositary may refuse to effect any transfer of such ADSs or any withdrawal of the shares of Cencosud common stock represented by such ADSs until such payment is</w:t>
      </w:r>
      <w:r>
        <w:rPr>
          <w:rFonts w:ascii="Arial" w:hAnsi="Arial" w:cs="Arial"/>
        </w:rPr>
        <w:t xml:space="preserve"> made, and may withhold any dividends or other distributions, or may sell for the account of the holder of the ADS thereof any part or all of the shares of Cencosud common stock represented by such ADSs, and may apply such dividends or other distributions </w:t>
      </w:r>
      <w:r>
        <w:rPr>
          <w:rFonts w:ascii="Arial" w:hAnsi="Arial" w:cs="Arial"/>
        </w:rPr>
        <w:t>or the proceeds of any such sale in payment of such tax or other governmental charge and the holder of such ADSs shall remain liable for any deficiency. In the event the Depositary determines that there is a reasonable possibility that a tax would be impos</w:t>
      </w:r>
      <w:r>
        <w:rPr>
          <w:rFonts w:ascii="Arial" w:hAnsi="Arial" w:cs="Arial"/>
        </w:rPr>
        <w:t>ed upon the withdrawal of shares in exchange for surrendered ADSs the Depositary may require, as a condition to such exchange, that the withdrawing investor provide satisfactory security to the Depositary in an amount sufficient to cover the estimated amou</w:t>
      </w:r>
      <w:r>
        <w:rPr>
          <w:rFonts w:ascii="Arial" w:hAnsi="Arial" w:cs="Arial"/>
        </w:rPr>
        <w:t xml:space="preserve">nt of such tax. </w:t>
      </w:r>
    </w:p>
    <w:p w:rsidR="00000000" w:rsidRDefault="003E5AFF">
      <w:pPr>
        <w:pStyle w:val="NormalWeb"/>
        <w:spacing w:before="240" w:beforeAutospacing="0" w:after="0" w:afterAutospacing="0"/>
      </w:pPr>
      <w:r>
        <w:rPr>
          <w:rFonts w:ascii="Arial" w:hAnsi="Arial" w:cs="Arial"/>
          <w:b/>
          <w:bCs/>
          <w:sz w:val="24"/>
          <w:szCs w:val="24"/>
        </w:rPr>
        <w:t xml:space="preserve">Amendment and termination </w:t>
      </w:r>
    </w:p>
    <w:p w:rsidR="00000000" w:rsidRDefault="003E5AFF">
      <w:pPr>
        <w:pStyle w:val="NormalWeb"/>
        <w:spacing w:before="120" w:beforeAutospacing="0" w:after="0" w:afterAutospacing="0"/>
      </w:pPr>
      <w:r>
        <w:rPr>
          <w:rFonts w:ascii="Arial" w:hAnsi="Arial" w:cs="Arial"/>
        </w:rPr>
        <w:t>The form of the ADRs and the Deposit Agreement may at any time be amended by written agreement between us and the Depositary. Any amendment that imposes or increases any fees or charges (other than taxes and othe</w:t>
      </w:r>
      <w:r>
        <w:rPr>
          <w:rFonts w:ascii="Arial" w:hAnsi="Arial" w:cs="Arial"/>
        </w:rPr>
        <w:t>r governmental charges, registration fees, cable, telex, or facsimile transmission costs, delivery costs or other such expense) or that otherwise prejudices any substantial existing right of ADS holders, will not take effect as to outstanding ADSs until th</w:t>
      </w:r>
      <w:r>
        <w:rPr>
          <w:rFonts w:ascii="Arial" w:hAnsi="Arial" w:cs="Arial"/>
        </w:rPr>
        <w:t>e expiration of 30 days after notice of such amendment has been given to the record holders of outstanding ADSs. Every holder of ADSs at the time such amendment so becomes effective will be deemed, by continuing to hold such ADSs, to consent and agree to s</w:t>
      </w:r>
      <w:r>
        <w:rPr>
          <w:rFonts w:ascii="Arial" w:hAnsi="Arial" w:cs="Arial"/>
        </w:rPr>
        <w:t>uch amendment and to be bound by the Deposit Agreement or the ADRs as amended thereby. In no event may any amendment impair the right of any ADS holder to surrender its ADSs and receive therefor the shares of Cencosud common stock represented thereby, exce</w:t>
      </w:r>
      <w:r>
        <w:rPr>
          <w:rFonts w:ascii="Arial" w:hAnsi="Arial" w:cs="Arial"/>
        </w:rPr>
        <w:t xml:space="preserve">pt in order to comply with mandatory provisions of applicable law.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- 255 - </w:t>
      </w:r>
    </w:p>
    <w:p w:rsidR="00000000" w:rsidRDefault="003E5AFF">
      <w:pPr>
        <w:rPr>
          <w:rFonts w:eastAsia="Times New Roman" w:cs="Times New Roman"/>
        </w:rPr>
      </w:pPr>
      <w:r>
        <w:rPr>
          <w:rFonts w:eastAsia="Times New Roman" w:cs="Times New Roman"/>
        </w:rPr>
        <w:pict>
          <v:rect id="_x0000_i1292" style="width:441.9pt;height:3pt" o:hralign="center" o:hrstd="t" o:hrnoshade="t" o:hr="t" fillcolor="#999" stroked="f"/>
        </w:pict>
      </w:r>
    </w:p>
    <w:p w:rsidR="00000000" w:rsidRDefault="003E5AFF">
      <w:pPr>
        <w:pStyle w:val="Heading5"/>
        <w:rPr>
          <w:rFonts w:eastAsia="Times New Roman" w:cs="Times New Roman"/>
        </w:rPr>
      </w:pPr>
      <w:hyperlink r:id="rId309" w:anchor="toc" w:history="1">
        <w:r>
          <w:rPr>
            <w:rStyle w:val="Hyperlink"/>
            <w:rFonts w:eastAsia="Times New Roman" w:cs="Times New Roman"/>
          </w:rPr>
          <w:t>Table</w:t>
        </w:r>
        <w:r>
          <w:rPr>
            <w:rStyle w:val="Hyperlink"/>
            <w:rFonts w:eastAsia="Times New Roman" w:cs="Times New Roman"/>
          </w:rPr>
          <w:t xml:space="preserve"> of Contents</w:t>
        </w:r>
      </w:hyperlink>
    </w:p>
    <w:p w:rsidR="00000000" w:rsidRDefault="003E5AFF">
      <w:pPr>
        <w:pStyle w:val="NormalWeb"/>
        <w:spacing w:before="0" w:beforeAutospacing="0" w:after="0" w:afterAutospacing="0"/>
      </w:pPr>
      <w:r>
        <w:rPr>
          <w:rFonts w:ascii="Arial" w:hAnsi="Arial" w:cs="Arial"/>
        </w:rPr>
        <w:t>Whenever we direct, the Depositary has agreed to terminate the Deposit Agreement by mailing notice of such termination to the holders of ADSs at least 30 days prior to the date fixed in such notice for such termination. The Depositary may like</w:t>
      </w:r>
      <w:r>
        <w:rPr>
          <w:rFonts w:ascii="Arial" w:hAnsi="Arial" w:cs="Arial"/>
        </w:rPr>
        <w:t>wise terminate the Deposit Agreement at any time 60 days after the Depositary shall have delivered to us its written resignation provided that a successor depositary shall not have been appointed and accepted its appointment before the end of such 60-day p</w:t>
      </w:r>
      <w:r>
        <w:rPr>
          <w:rFonts w:ascii="Arial" w:hAnsi="Arial" w:cs="Arial"/>
        </w:rPr>
        <w:t>eriod. If any ADSs remain outstanding after the date of termination, the Depositary thereafter will discontinue the registration of transfers of ADSs, will suspend the distribution of dividends to the holders thereof and will not give any further notices o</w:t>
      </w:r>
      <w:r>
        <w:rPr>
          <w:rFonts w:ascii="Arial" w:hAnsi="Arial" w:cs="Arial"/>
        </w:rPr>
        <w:t>r perform any further acts under the Deposit Agreement, except that the Depositary will continue the collection of dividends and other distributions pertaining to the shares of Cencosud common stock, the sale of property and rights as provided in the Depos</w:t>
      </w:r>
      <w:r>
        <w:rPr>
          <w:rFonts w:ascii="Arial" w:hAnsi="Arial" w:cs="Arial"/>
        </w:rPr>
        <w:t>it Agreement and the delivery of shares of Cencosud common stock, together with any dividends or other distributions received with respect thereto and the net proceeds of the sale of any rights or other property, in exchange for surrendered ADSs. At any ti</w:t>
      </w:r>
      <w:r>
        <w:rPr>
          <w:rFonts w:ascii="Arial" w:hAnsi="Arial" w:cs="Arial"/>
        </w:rPr>
        <w:t>me after the expiration of four months from the date of termination, the Depositary may sell the shares of Cencosud common stock and hold the net proceeds, together with any other cash then held, unsegregated and without liability for interest, for the pro</w:t>
      </w:r>
      <w:r>
        <w:rPr>
          <w:rFonts w:ascii="Arial" w:hAnsi="Arial" w:cs="Arial"/>
        </w:rPr>
        <w:t xml:space="preserve"> rata benefit of the holders of ADSs that have not theretofore been surrendered. </w:t>
      </w:r>
    </w:p>
    <w:p w:rsidR="00000000" w:rsidRDefault="003E5AFF">
      <w:pPr>
        <w:pStyle w:val="NormalWeb"/>
        <w:spacing w:before="240" w:beforeAutospacing="0" w:after="0" w:afterAutospacing="0"/>
      </w:pPr>
      <w:r>
        <w:rPr>
          <w:rFonts w:ascii="Arial" w:hAnsi="Arial" w:cs="Arial"/>
          <w:b/>
          <w:bCs/>
          <w:sz w:val="24"/>
          <w:szCs w:val="24"/>
        </w:rPr>
        <w:t xml:space="preserve">Limits on our obligations and the obligations of the depositary; limits on liability to ADS holders </w:t>
      </w:r>
    </w:p>
    <w:p w:rsidR="00000000" w:rsidRDefault="003E5AFF">
      <w:pPr>
        <w:pStyle w:val="NormalWeb"/>
        <w:spacing w:before="120" w:beforeAutospacing="0" w:after="0" w:afterAutospacing="0"/>
      </w:pPr>
      <w:r>
        <w:rPr>
          <w:rFonts w:ascii="Arial" w:hAnsi="Arial" w:cs="Arial"/>
        </w:rPr>
        <w:t>Neither we nor the Depositary assume any obligation nor will we be subject to any liability under the Deposit Agreement to holders of ADSs, except that we agree to perform our obligations specifically set forth in the Deposit Agreement without negligence o</w:t>
      </w:r>
      <w:r>
        <w:rPr>
          <w:rFonts w:ascii="Arial" w:hAnsi="Arial" w:cs="Arial"/>
        </w:rPr>
        <w:t>r bad faith. Neither we nor the Depositary will be under any obligation to appear in, prosecute or defend any action, suit or other proceeding in respect of any Deposited Securities or in respect of the ADRs on behalf of any holder of ADSs or other person,</w:t>
      </w:r>
      <w:r>
        <w:rPr>
          <w:rFonts w:ascii="Arial" w:hAnsi="Arial" w:cs="Arial"/>
        </w:rPr>
        <w:t xml:space="preserve"> and the Custodian will not be under any obligation whatsoever with respect to such proceedings, the responsibility of the Custodian being solely to the Depositary. The Depositary will not be liable for any acts or omissions made by a successor depositary </w:t>
      </w:r>
      <w:r>
        <w:rPr>
          <w:rFonts w:ascii="Arial" w:hAnsi="Arial" w:cs="Arial"/>
        </w:rPr>
        <w:t>whether in connection with a previous act or omission of the Depositary or in connection with any matter arising wholly after the removal or resignation of the Depositary, provided that in connection with the issue out of which such potential liability ari</w:t>
      </w:r>
      <w:r>
        <w:rPr>
          <w:rFonts w:ascii="Arial" w:hAnsi="Arial" w:cs="Arial"/>
        </w:rPr>
        <w:t>ses the Depositary performed its obligations without negligence or bad faith while it acted as Depositary. The Depositary will not be responsible for any failure to carry out any instructions to vote any of the Deposited Securities, or for the manner in wh</w:t>
      </w:r>
      <w:r>
        <w:rPr>
          <w:rFonts w:ascii="Arial" w:hAnsi="Arial" w:cs="Arial"/>
        </w:rPr>
        <w:t>ich any such vote is cast or the effect of any such vote, provided that any such action or non-action is without negligence and in good faith. None of the limitations described in this section will affect investor rights under U.S. federal securities laws.</w:t>
      </w:r>
      <w:r>
        <w:rPr>
          <w:rFonts w:ascii="Arial" w:hAnsi="Arial" w:cs="Arial"/>
        </w:rPr>
        <w:t xml:space="preserve"> </w:t>
      </w:r>
    </w:p>
    <w:p w:rsidR="00000000" w:rsidRDefault="003E5AFF">
      <w:pPr>
        <w:pStyle w:val="NormalWeb"/>
        <w:spacing w:before="240" w:beforeAutospacing="0" w:after="0" w:afterAutospacing="0"/>
      </w:pPr>
      <w:r>
        <w:rPr>
          <w:rFonts w:ascii="Arial" w:hAnsi="Arial" w:cs="Arial"/>
          <w:b/>
          <w:bCs/>
          <w:sz w:val="24"/>
          <w:szCs w:val="24"/>
        </w:rPr>
        <w:t xml:space="preserve">Disclosure of interest in ADSs </w:t>
      </w:r>
    </w:p>
    <w:p w:rsidR="00000000" w:rsidRDefault="003E5AFF">
      <w:pPr>
        <w:pStyle w:val="NormalWeb"/>
        <w:spacing w:before="120" w:beforeAutospacing="0" w:after="0" w:afterAutospacing="0"/>
      </w:pPr>
      <w:r>
        <w:rPr>
          <w:rFonts w:ascii="Arial" w:hAnsi="Arial" w:cs="Arial"/>
        </w:rPr>
        <w:t>Holders of ADSs are subject to certain provisions of the rules and regulations promulgated under the Exchange Act relating to the disclosure of interests in the shares of Cencosud common stock. Any holder of ADSs who is or</w:t>
      </w:r>
      <w:r>
        <w:rPr>
          <w:rFonts w:ascii="Arial" w:hAnsi="Arial" w:cs="Arial"/>
        </w:rPr>
        <w:t xml:space="preserve"> becomes directly or indirectly interested in five percent (or such other percentage as may be prescribed by law or regulation) or more of the outstanding shares of Cencosud common stock must within ten days after becoming so interested and thereafter upon</w:t>
      </w:r>
      <w:r>
        <w:rPr>
          <w:rFonts w:ascii="Arial" w:hAnsi="Arial" w:cs="Arial"/>
        </w:rPr>
        <w:t xml:space="preserve"> certain changes in such interests notify us as required by such rules and regulations. In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- 256 - </w:t>
      </w:r>
    </w:p>
    <w:p w:rsidR="00000000" w:rsidRDefault="003E5AFF">
      <w:pPr>
        <w:rPr>
          <w:rFonts w:eastAsia="Times New Roman" w:cs="Times New Roman"/>
        </w:rPr>
      </w:pPr>
      <w:r>
        <w:rPr>
          <w:rFonts w:eastAsia="Times New Roman" w:cs="Times New Roman"/>
        </w:rPr>
        <w:pict>
          <v:rect id="_x0000_i1293" style="width:441.9pt;height:3pt" o:hralign="center" o:hrstd="t" o:hrnoshade="t" o:hr="t" fillcolor="#999" stroked="f"/>
        </w:pict>
      </w:r>
    </w:p>
    <w:p w:rsidR="00000000" w:rsidRDefault="003E5AFF">
      <w:pPr>
        <w:pStyle w:val="Heading5"/>
        <w:rPr>
          <w:rFonts w:eastAsia="Times New Roman" w:cs="Times New Roman"/>
        </w:rPr>
      </w:pPr>
      <w:hyperlink r:id="rId310"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addition, holders of ADSs as a matter of Chilean law are subject to the reporting requirements contained in Articles 12 and 54 and Titl</w:t>
      </w:r>
      <w:r>
        <w:rPr>
          <w:rFonts w:ascii="Arial" w:hAnsi="Arial" w:cs="Arial"/>
        </w:rPr>
        <w:t xml:space="preserve">e XV of Law 18,045 of Chile, which provision may apply when a holder beneficially owns ten percent or more of the Cencosud common stock or has the intention of taking control of Cencosud. See _Description of Share Capital._ </w:t>
      </w:r>
    </w:p>
    <w:p w:rsidR="00000000" w:rsidRDefault="003E5AFF">
      <w:pPr>
        <w:pStyle w:val="NormalWeb"/>
        <w:spacing w:before="240" w:beforeAutospacing="0" w:after="0" w:afterAutospacing="0"/>
      </w:pPr>
      <w:r>
        <w:rPr>
          <w:rFonts w:ascii="Arial" w:hAnsi="Arial" w:cs="Arial"/>
          <w:b/>
          <w:bCs/>
          <w:sz w:val="24"/>
          <w:szCs w:val="24"/>
        </w:rPr>
        <w:t>Requirements for depositary act</w:t>
      </w:r>
      <w:r>
        <w:rPr>
          <w:rFonts w:ascii="Arial" w:hAnsi="Arial" w:cs="Arial"/>
          <w:b/>
          <w:bCs/>
          <w:sz w:val="24"/>
          <w:szCs w:val="24"/>
        </w:rPr>
        <w:t xml:space="preserve">ions </w:t>
      </w:r>
    </w:p>
    <w:p w:rsidR="00000000" w:rsidRDefault="003E5AFF">
      <w:pPr>
        <w:pStyle w:val="NormalWeb"/>
        <w:spacing w:before="120" w:beforeAutospacing="0" w:after="0" w:afterAutospacing="0"/>
      </w:pPr>
      <w:r>
        <w:rPr>
          <w:rFonts w:ascii="Arial" w:hAnsi="Arial" w:cs="Arial"/>
        </w:rPr>
        <w:t>As a condition precedent to the delivery, registration of transfer or surrender of any ADSs or any split up or combination of ADR or withdrawal of any shares of Cencosud common stock, we, the Depositary or the Custodian may require from the holder or</w:t>
      </w:r>
      <w:r>
        <w:rPr>
          <w:rFonts w:ascii="Arial" w:hAnsi="Arial" w:cs="Arial"/>
        </w:rPr>
        <w:t xml:space="preserve"> the presenter of the ADR or the depositor of the shares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payment of a sum sufficient to pay or reimburse the Depositary, the Custodian or us for any tax or other governmental charge and any stock transfer or </w:t>
            </w:r>
            <w:r>
              <w:rPr>
                <w:rFonts w:ascii="Arial" w:hAnsi="Arial" w:cs="Arial"/>
              </w:rPr>
              <w:t xml:space="preserve">registration fee or any charge of the Depositary upon delivery of the ADS or upon surrender of the ADS, as set forth in the Deposit Agreement,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production of proof satisfactory to the Depositary or Custodian of the identity or genuineness of any signature and proof of citizenship, residence, exchange-control approval, legal or beneficial ownership, compliance with all applicable laws and regul</w:t>
            </w:r>
            <w:r>
              <w:rPr>
                <w:rFonts w:ascii="Arial" w:hAnsi="Arial" w:cs="Arial"/>
              </w:rPr>
              <w:t xml:space="preserve">ations, compliance with all other applicable provisions governing the shares of Cencosud common stock and the terms of the Deposit Agreement or other information as the Depositary may deem necessary or proper or as we may require by written request to the </w:t>
            </w:r>
            <w:r>
              <w:rPr>
                <w:rFonts w:ascii="Arial" w:hAnsi="Arial" w:cs="Arial"/>
              </w:rPr>
              <w:t xml:space="preserve">Depositary or the Custodian. </w:t>
            </w:r>
          </w:p>
        </w:tc>
      </w:tr>
    </w:tbl>
    <w:p w:rsidR="00000000" w:rsidRDefault="003E5AFF">
      <w:pPr>
        <w:pStyle w:val="NormalWeb"/>
        <w:spacing w:before="120" w:beforeAutospacing="0" w:after="0" w:afterAutospacing="0"/>
      </w:pPr>
      <w:r>
        <w:rPr>
          <w:rFonts w:ascii="Arial" w:hAnsi="Arial" w:cs="Arial"/>
        </w:rPr>
        <w:t>The delivery, registration, registration of transfer of ADSs or split-up or combination of ADRs, or the deposit or withdrawal of shares of other property represented by ADSs, in particular instances or generally, may be suspen</w:t>
      </w:r>
      <w:r>
        <w:rPr>
          <w:rFonts w:ascii="Arial" w:hAnsi="Arial" w:cs="Arial"/>
        </w:rPr>
        <w:t xml:space="preserve">ded during any period when the transfer books of the Depositary are closed, or if any such action is deemed necessary or advisable by the Depositary or us at any time or from time to time. </w:t>
      </w:r>
    </w:p>
    <w:p w:rsidR="00000000" w:rsidRDefault="003E5AFF">
      <w:pPr>
        <w:pStyle w:val="NormalWeb"/>
        <w:spacing w:before="120" w:beforeAutospacing="0" w:after="0" w:afterAutospacing="0"/>
      </w:pPr>
      <w:r>
        <w:rPr>
          <w:rFonts w:ascii="Arial" w:hAnsi="Arial" w:cs="Arial"/>
        </w:rPr>
        <w:t>The Depositary will act as ADS registrar or appoint a registrar or</w:t>
      </w:r>
      <w:r>
        <w:rPr>
          <w:rFonts w:ascii="Arial" w:hAnsi="Arial" w:cs="Arial"/>
        </w:rPr>
        <w:t xml:space="preserve"> one or more co-registrars for registration of the ADSs in accordance with any requirements of the New York Stock Exchange or of any other stock exchange on which the ADSs may be listed or quoted. </w:t>
      </w:r>
    </w:p>
    <w:p w:rsidR="00000000" w:rsidRDefault="003E5AFF">
      <w:pPr>
        <w:pStyle w:val="NormalWeb"/>
        <w:spacing w:before="120" w:beforeAutospacing="0" w:after="0" w:afterAutospacing="0"/>
      </w:pPr>
      <w:r>
        <w:rPr>
          <w:rFonts w:ascii="Arial" w:hAnsi="Arial" w:cs="Arial"/>
        </w:rPr>
        <w:t xml:space="preserve">The Depositary may appoint one or more co-transfer agents </w:t>
      </w:r>
      <w:r>
        <w:rPr>
          <w:rFonts w:ascii="Arial" w:hAnsi="Arial" w:cs="Arial"/>
        </w:rPr>
        <w:t>for the purpose of effecting transfers of ADSs or combinations and split-ups of ADRs at designated transfer offices on behalf of the Depositary. In carrying out its functions, a co-transfer agent may require evidence of authority and compliance with applic</w:t>
      </w:r>
      <w:r>
        <w:rPr>
          <w:rFonts w:ascii="Arial" w:hAnsi="Arial" w:cs="Arial"/>
        </w:rPr>
        <w:t xml:space="preserve">able laws and other requirements by holders of ADSs or persons entitled to ADSs and will be entitled to protection and indemnity to the same extent as the Depositary. </w:t>
      </w:r>
    </w:p>
    <w:p w:rsidR="00000000" w:rsidRDefault="003E5AFF">
      <w:pPr>
        <w:pStyle w:val="NormalWeb"/>
        <w:spacing w:before="240" w:beforeAutospacing="0" w:after="0" w:afterAutospacing="0"/>
      </w:pPr>
      <w:r>
        <w:rPr>
          <w:rFonts w:ascii="Arial" w:hAnsi="Arial" w:cs="Arial"/>
          <w:b/>
          <w:bCs/>
          <w:sz w:val="24"/>
          <w:szCs w:val="24"/>
        </w:rPr>
        <w:t xml:space="preserve">Books of depositary </w:t>
      </w:r>
    </w:p>
    <w:p w:rsidR="00000000" w:rsidRDefault="003E5AFF">
      <w:pPr>
        <w:pStyle w:val="NormalWeb"/>
        <w:spacing w:before="120" w:beforeAutospacing="0" w:after="0" w:afterAutospacing="0"/>
      </w:pPr>
      <w:r>
        <w:rPr>
          <w:rFonts w:ascii="Arial" w:hAnsi="Arial" w:cs="Arial"/>
        </w:rPr>
        <w:t>The transfer of the ADSs is registrable on the books of the Deposit</w:t>
      </w:r>
      <w:r>
        <w:rPr>
          <w:rFonts w:ascii="Arial" w:hAnsi="Arial" w:cs="Arial"/>
        </w:rPr>
        <w:t xml:space="preserve">ary, provided, however, that the Depositary may close the transfer books at any time or from time to time when deemed expedient by it in connection with the performance of its duties.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- 257 - </w:t>
      </w:r>
    </w:p>
    <w:p w:rsidR="00000000" w:rsidRDefault="003E5AFF">
      <w:pPr>
        <w:rPr>
          <w:rFonts w:eastAsia="Times New Roman" w:cs="Times New Roman"/>
        </w:rPr>
      </w:pPr>
      <w:r>
        <w:rPr>
          <w:rFonts w:eastAsia="Times New Roman" w:cs="Times New Roman"/>
        </w:rPr>
        <w:pict>
          <v:rect id="_x0000_i1294" style="width:441.9pt;height:3pt" o:hralign="center" o:hrstd="t" o:hrnoshade="t" o:hr="t" fillcolor="#999" stroked="f"/>
        </w:pict>
      </w:r>
    </w:p>
    <w:p w:rsidR="00000000" w:rsidRDefault="003E5AFF">
      <w:pPr>
        <w:pStyle w:val="Heading5"/>
        <w:rPr>
          <w:rFonts w:eastAsia="Times New Roman" w:cs="Times New Roman"/>
        </w:rPr>
      </w:pPr>
      <w:hyperlink r:id="rId311"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b/>
          <w:bCs/>
          <w:sz w:val="24"/>
          <w:szCs w:val="24"/>
        </w:rPr>
        <w:t xml:space="preserve">Valuation of underlying shares for chilean law purposes </w:t>
      </w:r>
    </w:p>
    <w:p w:rsidR="00000000" w:rsidRDefault="003E5AFF">
      <w:pPr>
        <w:pStyle w:val="NormalWeb"/>
        <w:spacing w:before="120" w:beforeAutospacing="0" w:after="0" w:afterAutospacing="0"/>
      </w:pPr>
      <w:r>
        <w:rPr>
          <w:rFonts w:ascii="Arial" w:hAnsi="Arial" w:cs="Arial"/>
        </w:rPr>
        <w:t>For all purposes of valuation under Ch</w:t>
      </w:r>
      <w:r>
        <w:rPr>
          <w:rFonts w:ascii="Arial" w:hAnsi="Arial" w:cs="Arial"/>
        </w:rPr>
        <w:t>ilean law, the Deposit Agreement provides that the acquisition value of the shares of Cencosud common stock delivered to any holder upon surrender of ADSs shall be the highest reported sales price of the Cencosud common stock on the Santiago Stock Exchange</w:t>
      </w:r>
      <w:r>
        <w:rPr>
          <w:rFonts w:ascii="Arial" w:hAnsi="Arial" w:cs="Arial"/>
        </w:rPr>
        <w:t xml:space="preserve"> for the day on which the transfer of the Cencosud common stock is recorded under the name of such holder on our books. In the event that no such sales price is reported by the Santiago Stock Exchange or another organized securities market during that day,</w:t>
      </w:r>
      <w:r>
        <w:rPr>
          <w:rFonts w:ascii="Arial" w:hAnsi="Arial" w:cs="Arial"/>
        </w:rPr>
        <w:t xml:space="preserve"> the value shall be deemed to be the highest sale price on the day during which the last trade took place. However, if more than 30 days have lapsed since the last trade, such value shall be adjusted in accordance with the variation of the Chilean Consumer</w:t>
      </w:r>
      <w:r>
        <w:rPr>
          <w:rFonts w:ascii="Arial" w:hAnsi="Arial" w:cs="Arial"/>
        </w:rPr>
        <w:t xml:space="preserve"> Price Index for the corresponding term. </w:t>
      </w:r>
    </w:p>
    <w:p w:rsidR="00000000" w:rsidRDefault="003E5AFF">
      <w:pPr>
        <w:pStyle w:val="NormalWeb"/>
        <w:spacing w:before="240" w:beforeAutospacing="0" w:after="0" w:afterAutospacing="0"/>
      </w:pPr>
      <w:r>
        <w:rPr>
          <w:rFonts w:ascii="Arial" w:hAnsi="Arial" w:cs="Arial"/>
          <w:b/>
          <w:bCs/>
          <w:sz w:val="24"/>
          <w:szCs w:val="24"/>
        </w:rPr>
        <w:t xml:space="preserve">The depositary </w:t>
      </w:r>
    </w:p>
    <w:p w:rsidR="00000000" w:rsidRDefault="003E5AFF">
      <w:pPr>
        <w:pStyle w:val="NormalWeb"/>
        <w:spacing w:before="120" w:beforeAutospacing="0" w:after="0" w:afterAutospacing="0"/>
      </w:pPr>
      <w:r>
        <w:rPr>
          <w:rFonts w:ascii="Arial" w:hAnsi="Arial" w:cs="Arial"/>
        </w:rPr>
        <w:t xml:space="preserve">The Bank of New York Mellon, a New York banking corporation, shall serve as the Depositary.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- 258 - </w:t>
      </w:r>
    </w:p>
    <w:p w:rsidR="00000000" w:rsidRDefault="003E5AFF">
      <w:pPr>
        <w:rPr>
          <w:rFonts w:eastAsia="Times New Roman" w:cs="Times New Roman"/>
        </w:rPr>
      </w:pPr>
      <w:r>
        <w:rPr>
          <w:rFonts w:eastAsia="Times New Roman" w:cs="Times New Roman"/>
        </w:rPr>
        <w:pict>
          <v:rect id="_x0000_i1295" style="width:441.9pt;height:3pt" o:hralign="center" o:hrstd="t" o:hrnoshade="t" o:hr="t" fillcolor="#999" stroked="f"/>
        </w:pict>
      </w:r>
    </w:p>
    <w:p w:rsidR="00000000" w:rsidRDefault="003E5AFF">
      <w:pPr>
        <w:pStyle w:val="Heading5"/>
        <w:rPr>
          <w:rFonts w:eastAsia="Times New Roman" w:cs="Times New Roman"/>
        </w:rPr>
      </w:pPr>
      <w:hyperlink r:id="rId312"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27" w:name="rom343004_26"/>
      <w:bookmarkEnd w:id="27"/>
      <w:r>
        <w:rPr>
          <w:rFonts w:ascii="Arial" w:hAnsi="Arial" w:cs="Arial"/>
          <w:b/>
          <w:bCs/>
          <w:sz w:val="36"/>
          <w:szCs w:val="36"/>
        </w:rPr>
        <w:t xml:space="preserve">Common shares eligible </w:t>
      </w:r>
      <w:r>
        <w:rPr>
          <w:rFonts w:ascii="Arial" w:hAnsi="Arial" w:cs="Arial"/>
          <w:b/>
          <w:bCs/>
          <w:sz w:val="36"/>
          <w:szCs w:val="36"/>
        </w:rPr>
        <w:t xml:space="preserve">for future sale </w:t>
      </w:r>
    </w:p>
    <w:p w:rsidR="00000000" w:rsidRDefault="003E5AFF">
      <w:pPr>
        <w:pStyle w:val="NormalWeb"/>
        <w:spacing w:before="120" w:beforeAutospacing="0" w:after="0" w:afterAutospacing="0"/>
      </w:pPr>
      <w:r>
        <w:rPr>
          <w:rFonts w:ascii="Arial" w:hAnsi="Arial" w:cs="Arial"/>
        </w:rPr>
        <w:t>Immediately after this offering, we will have 2,369,103,215 shares of common stock issued and outstanding, assuming the waiver by our controlling shareholders of their rights with respect to 105,000,000 shares of common stock subject to pr</w:t>
      </w:r>
      <w:r>
        <w:rPr>
          <w:rFonts w:ascii="Arial" w:hAnsi="Arial" w:cs="Arial"/>
        </w:rPr>
        <w:t>eemptive rights offering and that the international underwriters exercise their over-allotment option in full. Of these shares, the              shares sold in this offering in the form of ADSs will be freely tradable without restriction or further registr</w:t>
      </w:r>
      <w:r>
        <w:rPr>
          <w:rFonts w:ascii="Arial" w:hAnsi="Arial" w:cs="Arial"/>
        </w:rPr>
        <w:t xml:space="preserve">ation under the Securities Act, except for any common shares purchased by our affiliates within the meaning of Rule 144 under the Securities Act. </w:t>
      </w:r>
    </w:p>
    <w:p w:rsidR="00000000" w:rsidRDefault="003E5AFF">
      <w:pPr>
        <w:pStyle w:val="NormalWeb"/>
        <w:spacing w:before="240" w:beforeAutospacing="0" w:after="0" w:afterAutospacing="0"/>
      </w:pPr>
      <w:r>
        <w:rPr>
          <w:rFonts w:ascii="Arial" w:hAnsi="Arial" w:cs="Arial"/>
          <w:b/>
          <w:bCs/>
          <w:sz w:val="24"/>
          <w:szCs w:val="24"/>
        </w:rPr>
        <w:t xml:space="preserve">Lock-up agreements </w:t>
      </w:r>
    </w:p>
    <w:p w:rsidR="00000000" w:rsidRDefault="003E5AFF">
      <w:pPr>
        <w:pStyle w:val="NormalWeb"/>
        <w:spacing w:before="120" w:beforeAutospacing="0" w:after="0" w:afterAutospacing="0"/>
      </w:pPr>
      <w:r>
        <w:rPr>
          <w:rFonts w:ascii="Arial" w:hAnsi="Arial" w:cs="Arial"/>
        </w:rPr>
        <w:t xml:space="preserve">We have agreed that, subject to certain exceptions, without the prior written consent of </w:t>
      </w:r>
      <w:r>
        <w:rPr>
          <w:rFonts w:ascii="Arial" w:hAnsi="Arial" w:cs="Arial"/>
        </w:rPr>
        <w:t xml:space="preserve">J.P. Morgan Securities LLC and UBS Securities LLC, we will not, during the period beginning on the date of this prospectus and ending 180 days thereafter: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offer, pledge, announce the intention to sell, sell, contract to sell, sell any option or contract to purchase, purchase any option or contract to sell, grant any option, right or warrant to purchase or otherwise dispose of, directly or indirectly, or file</w:t>
            </w:r>
            <w:r>
              <w:rPr>
                <w:rFonts w:ascii="Arial" w:hAnsi="Arial" w:cs="Arial"/>
              </w:rPr>
              <w:t xml:space="preserve"> with the Securities and Exchange Commission a registration statement under the Securities Act relating to, any of our common shares or securities convertible into or exchangeable or exercisable for any of our common shares, or publicly disclose the intent</w:t>
            </w:r>
            <w:r>
              <w:rPr>
                <w:rFonts w:ascii="Arial" w:hAnsi="Arial" w:cs="Arial"/>
              </w:rPr>
              <w:t xml:space="preserve">ion to make any offer, sale, pledge, disposition or filing;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enter into any swap or other arrangement that transfers all or a portion of the economic consequences associated with the ownership of any common shares or any such other securiti</w:t>
            </w:r>
            <w:r>
              <w:rPr>
                <w:rFonts w:ascii="Arial" w:hAnsi="Arial" w:cs="Arial"/>
              </w:rPr>
              <w:t xml:space="preserve">es (regardless of whether any of these transactions are to be settled by the delivery of common shares or such other securities, in cash or otherwise);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other than the common shares in the form of ADSs to be sold in the international offering, the common shares to be sold in the Chilean offering or pursuant to the preemptive rights offering. </w:t>
            </w:r>
          </w:p>
        </w:tc>
      </w:tr>
    </w:tbl>
    <w:p w:rsidR="00000000" w:rsidRDefault="003E5AFF">
      <w:pPr>
        <w:pStyle w:val="NormalWeb"/>
        <w:spacing w:before="120" w:beforeAutospacing="0" w:after="0" w:afterAutospacing="0"/>
      </w:pPr>
      <w:r>
        <w:rPr>
          <w:rFonts w:ascii="Arial" w:hAnsi="Arial" w:cs="Arial"/>
        </w:rPr>
        <w:t>Our directors, executive officers and Controlling Shareholders h</w:t>
      </w:r>
      <w:r>
        <w:rPr>
          <w:rFonts w:ascii="Arial" w:hAnsi="Arial" w:cs="Arial"/>
        </w:rPr>
        <w:t xml:space="preserve">ave agreed that, subject to certain exceptions, without the prior written consent of J.P. Morgan Securities LLC and UBS Securities LLC, they will not, during the period beginning on the date of this prospectus and ending 180 days thereafter: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offer, pledge, announce the intention to sell, sell, contract to sell, sell any option or contract to purchase, purchase any option or contract to sell, grant any option, right or warrant to purchase, or otherwise transfer or dispose of, directly or indire</w:t>
            </w:r>
            <w:r>
              <w:rPr>
                <w:rFonts w:ascii="Arial" w:hAnsi="Arial" w:cs="Arial"/>
              </w:rPr>
              <w:t>ctly, any of our common shares or any securities convertible into or exercisable or exchangeable for our common shares (including, without limitation, common stock or such other securities which may be deemed to be beneficially owned by such directors, exe</w:t>
            </w:r>
            <w:r>
              <w:rPr>
                <w:rFonts w:ascii="Arial" w:hAnsi="Arial" w:cs="Arial"/>
              </w:rPr>
              <w:t xml:space="preserve">cutive officers, managers and members in accordance with the rules and regulations of the SEC and securities which may be issued upon exercise of a stock option or warrant);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enter into any swap or other agreement that transfers, in whole or in part, any of the economic consequences of ownership of the common shares or such other securities, (regardless of whether any of these transactions are to be settled by the delivery of c</w:t>
            </w:r>
            <w:r>
              <w:rPr>
                <w:rFonts w:ascii="Arial" w:hAnsi="Arial" w:cs="Arial"/>
              </w:rPr>
              <w:t xml:space="preserve">ommon shares or such other securities, in cash or otherwise);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make any demand for or exercise any right with respect to the registration of any of our common shares or any security convertible into or exercisable or exchangeable for our co</w:t>
            </w:r>
            <w:r>
              <w:rPr>
                <w:rFonts w:ascii="Arial" w:hAnsi="Arial" w:cs="Arial"/>
              </w:rPr>
              <w:t xml:space="preserve">mmon shares. </w:t>
            </w:r>
          </w:p>
        </w:tc>
      </w:tr>
    </w:tbl>
    <w:p w:rsidR="00000000" w:rsidRDefault="003E5AFF">
      <w:pPr>
        <w:pStyle w:val="NormalWeb"/>
        <w:spacing w:before="120" w:beforeAutospacing="0" w:after="0" w:afterAutospacing="0"/>
      </w:pPr>
      <w:r>
        <w:rPr>
          <w:rFonts w:ascii="Arial" w:hAnsi="Arial" w:cs="Arial"/>
        </w:rPr>
        <w:t xml:space="preserve">Each of these agreements is subject to certain exceptions, as set forth in _Underwriting._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- 259 - </w:t>
      </w:r>
    </w:p>
    <w:p w:rsidR="00000000" w:rsidRDefault="003E5AFF">
      <w:pPr>
        <w:rPr>
          <w:rFonts w:eastAsia="Times New Roman" w:cs="Times New Roman"/>
        </w:rPr>
      </w:pPr>
      <w:r>
        <w:rPr>
          <w:rFonts w:eastAsia="Times New Roman" w:cs="Times New Roman"/>
        </w:rPr>
        <w:pict>
          <v:rect id="_x0000_i1296" style="width:441.9pt;height:3pt" o:hralign="center" o:hrstd="t" o:hrnoshade="t" o:hr="t" fillcolor="#999" stroked="f"/>
        </w:pict>
      </w:r>
    </w:p>
    <w:p w:rsidR="00000000" w:rsidRDefault="003E5AFF">
      <w:pPr>
        <w:pStyle w:val="Heading5"/>
        <w:rPr>
          <w:rFonts w:eastAsia="Times New Roman" w:cs="Times New Roman"/>
        </w:rPr>
      </w:pPr>
      <w:hyperlink r:id="rId313"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jc w:val="center"/>
      </w:pPr>
      <w:bookmarkStart w:id="28" w:name="rom343004_27"/>
      <w:bookmarkEnd w:id="28"/>
      <w:r>
        <w:rPr>
          <w:rFonts w:ascii="Arial" w:hAnsi="Arial" w:cs="Arial"/>
          <w:b/>
          <w:bCs/>
          <w:sz w:val="36"/>
          <w:szCs w:val="36"/>
        </w:rPr>
        <w:t xml:space="preserve">Taxation </w:t>
      </w:r>
    </w:p>
    <w:p w:rsidR="00000000" w:rsidRDefault="003E5AFF">
      <w:pPr>
        <w:pStyle w:val="NormalWeb"/>
        <w:spacing w:before="120" w:beforeAutospacing="0" w:after="0" w:afterAutospacing="0"/>
      </w:pPr>
      <w:r>
        <w:rPr>
          <w:rFonts w:ascii="Arial" w:hAnsi="Arial" w:cs="Arial"/>
          <w:b/>
          <w:bCs/>
          <w:sz w:val="24"/>
          <w:szCs w:val="24"/>
        </w:rPr>
        <w:t xml:space="preserve">General </w:t>
      </w:r>
    </w:p>
    <w:p w:rsidR="00000000" w:rsidRDefault="003E5AFF">
      <w:pPr>
        <w:pStyle w:val="NormalWeb"/>
        <w:spacing w:before="120" w:beforeAutospacing="0" w:after="0" w:afterAutospacing="0"/>
      </w:pPr>
      <w:r>
        <w:rPr>
          <w:rFonts w:ascii="Arial" w:hAnsi="Arial" w:cs="Arial"/>
          <w:i/>
          <w:iCs/>
        </w:rPr>
        <w:t>The following discussion summarizes the mate</w:t>
      </w:r>
      <w:r>
        <w:rPr>
          <w:rFonts w:ascii="Arial" w:hAnsi="Arial" w:cs="Arial"/>
          <w:i/>
          <w:iCs/>
        </w:rPr>
        <w:t>rial Chilean tax and U.S. federal income tax consequences to beneficial owners arising from the purchase, ownership and disposition of the common stock and ADSs. The summary does not purport to be a comprehensive description of all potential Chilean tax an</w:t>
      </w:r>
      <w:r>
        <w:rPr>
          <w:rFonts w:ascii="Arial" w:hAnsi="Arial" w:cs="Arial"/>
          <w:i/>
          <w:iCs/>
        </w:rPr>
        <w:t>d U.S. federal income tax considerations that may be relevant to a decision to purchase, own or dispose of the common stock and ADSs and is not intended as tax advice to any particular investor. This summary does not describe any tax consequences arising u</w:t>
      </w:r>
      <w:r>
        <w:rPr>
          <w:rFonts w:ascii="Arial" w:hAnsi="Arial" w:cs="Arial"/>
          <w:i/>
          <w:iCs/>
        </w:rPr>
        <w:t xml:space="preserve">nder the laws of any state, locality or other taxing jurisdiction other than Chile and the United States. There is currently no income tax treaty between the United States and Chile. </w:t>
      </w:r>
    </w:p>
    <w:p w:rsidR="00000000" w:rsidRDefault="003E5AFF">
      <w:pPr>
        <w:pStyle w:val="NormalWeb"/>
        <w:spacing w:before="120" w:beforeAutospacing="0" w:after="0" w:afterAutospacing="0"/>
      </w:pPr>
      <w:r>
        <w:rPr>
          <w:rFonts w:ascii="Arial" w:hAnsi="Arial" w:cs="Arial"/>
          <w:i/>
          <w:iCs/>
        </w:rPr>
        <w:t>Prospective purchasers of the common stock and ADSs should consult their</w:t>
      </w:r>
      <w:r>
        <w:rPr>
          <w:rFonts w:ascii="Arial" w:hAnsi="Arial" w:cs="Arial"/>
          <w:i/>
          <w:iCs/>
        </w:rPr>
        <w:t xml:space="preserve"> own tax advisors as to the Chilean, United States or other tax consequences of the purchase, ownership and disposition of the common stock and ADSs in their particular circumstances, as well as the application of state, local, foreign or other tax laws. </w:t>
      </w:r>
    </w:p>
    <w:p w:rsidR="00000000" w:rsidRDefault="003E5AFF">
      <w:pPr>
        <w:pStyle w:val="NormalWeb"/>
        <w:spacing w:before="240" w:beforeAutospacing="0" w:after="0" w:afterAutospacing="0"/>
      </w:pPr>
      <w:r>
        <w:rPr>
          <w:rFonts w:ascii="Arial" w:hAnsi="Arial" w:cs="Arial"/>
          <w:b/>
          <w:bCs/>
          <w:i/>
          <w:iCs/>
        </w:rPr>
        <w:t xml:space="preserve">Chilean tax considerations </w:t>
      </w:r>
    </w:p>
    <w:p w:rsidR="00000000" w:rsidRDefault="003E5AFF">
      <w:pPr>
        <w:pStyle w:val="NormalWeb"/>
        <w:spacing w:before="120" w:beforeAutospacing="0" w:after="0" w:afterAutospacing="0"/>
      </w:pPr>
      <w:r>
        <w:rPr>
          <w:rFonts w:ascii="Arial" w:hAnsi="Arial" w:cs="Arial"/>
        </w:rPr>
        <w:t>The following section is the opinion of Philippi, Yrarr_zaval, Pulido &amp; Brunner Abogados Limitada as to the material Chilean income tax laws presently in force, including Ruling No. 324 of January 29, 1990 of the Chilean Interna</w:t>
      </w:r>
      <w:r>
        <w:rPr>
          <w:rFonts w:ascii="Arial" w:hAnsi="Arial" w:cs="Arial"/>
        </w:rPr>
        <w:t>l Revenue Service and other applicable regulations and rulings. The discussion summarizes the material Chilean income tax consequences of an investment in the ADSs or shares of common stock received in exchange for ADSs by an individual who is not domicile</w:t>
      </w:r>
      <w:r>
        <w:rPr>
          <w:rFonts w:ascii="Arial" w:hAnsi="Arial" w:cs="Arial"/>
        </w:rPr>
        <w:t>d in or a resident of Chile or a legal entity that is not organized under the laws of Chile and does not have a permanent establishment located in Chile, which we refer to as a foreign holder. For purposes of Chilean law, an individual holder is a resident</w:t>
      </w:r>
      <w:r>
        <w:rPr>
          <w:rFonts w:ascii="Arial" w:hAnsi="Arial" w:cs="Arial"/>
        </w:rPr>
        <w:t xml:space="preserve"> of Chile if he or she has remained in Chile for more than six months in one calendar year or for a total of more than six months in two consecutive tax years. An individual holder is domiciled in Chile if he or she resides in Chile with the purpose of sta</w:t>
      </w:r>
      <w:r>
        <w:rPr>
          <w:rFonts w:ascii="Arial" w:hAnsi="Arial" w:cs="Arial"/>
        </w:rPr>
        <w:t>ying in Chile (such purpose to be evidenced by circumstances such as the acceptance of employment within Chile or the relocation of his or her family to Chile). This discussion is not intended as tax advice to any particular investor, which can be rendered</w:t>
      </w:r>
      <w:r>
        <w:rPr>
          <w:rFonts w:ascii="Arial" w:hAnsi="Arial" w:cs="Arial"/>
        </w:rPr>
        <w:t xml:space="preserve"> only in light of that investor_s particular tax situation. </w:t>
      </w:r>
    </w:p>
    <w:p w:rsidR="00000000" w:rsidRDefault="003E5AFF">
      <w:pPr>
        <w:pStyle w:val="NormalWeb"/>
        <w:spacing w:before="120" w:beforeAutospacing="0" w:after="0" w:afterAutospacing="0"/>
      </w:pPr>
      <w:r>
        <w:rPr>
          <w:rFonts w:ascii="Arial" w:hAnsi="Arial" w:cs="Arial"/>
        </w:rPr>
        <w:t>Under Chilean law, provisions contained in statutes such as tax rates applicable to foreign holders, the computation of taxable income for Chilean purposes and the manner in which Chilean taxes a</w:t>
      </w:r>
      <w:r>
        <w:rPr>
          <w:rFonts w:ascii="Arial" w:hAnsi="Arial" w:cs="Arial"/>
        </w:rPr>
        <w:t xml:space="preserve">re imposed and collected may be amended only by another statute. In addition, the Chilean tax authorities issue rulings and regulations of either general or specific application interpreting the provisions of Chilean tax law. Pursuant to Article 26 of the </w:t>
      </w:r>
      <w:r>
        <w:rPr>
          <w:rFonts w:ascii="Arial" w:hAnsi="Arial" w:cs="Arial"/>
        </w:rPr>
        <w:t>Chilean Tax Code, Chilean taxes may not be assessed retroactively against taxpayers who in good faith relied on such rulings, regulations and interpretations, but Chilean tax authorities may change such rulings, regulations and interpretations prospectivel</w:t>
      </w:r>
      <w:r>
        <w:rPr>
          <w:rFonts w:ascii="Arial" w:hAnsi="Arial" w:cs="Arial"/>
        </w:rPr>
        <w:t xml:space="preserve">y. On February 4, 2010, a comprehensive income tax treaty between the United States and Chile (the _Proposed U.S.-Chile Treaty_) was signed, however such treaty has not yet been ratified by each country and therefore is not yet effective. It is unclear at </w:t>
      </w:r>
      <w:r>
        <w:rPr>
          <w:rFonts w:ascii="Arial" w:hAnsi="Arial" w:cs="Arial"/>
        </w:rPr>
        <w:t xml:space="preserve">this time when such treaty will be ratified by both countries. You should consult your tax adviser regarding the ongoing status of this treaty, and if ratified the impact such treaty would have on the consequences described in this prospectus supplement.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- 260 - </w:t>
      </w:r>
    </w:p>
    <w:p w:rsidR="00000000" w:rsidRDefault="003E5AFF">
      <w:pPr>
        <w:rPr>
          <w:rFonts w:eastAsia="Times New Roman" w:cs="Times New Roman"/>
        </w:rPr>
      </w:pPr>
      <w:r>
        <w:rPr>
          <w:rFonts w:eastAsia="Times New Roman" w:cs="Times New Roman"/>
        </w:rPr>
        <w:pict>
          <v:rect id="_x0000_i1297" style="width:441.9pt;height:3pt" o:hralign="center" o:hrstd="t" o:hrnoshade="t" o:hr="t" fillcolor="#999" stroked="f"/>
        </w:pict>
      </w:r>
    </w:p>
    <w:p w:rsidR="00000000" w:rsidRDefault="003E5AFF">
      <w:pPr>
        <w:pStyle w:val="Heading5"/>
        <w:rPr>
          <w:rFonts w:eastAsia="Times New Roman" w:cs="Times New Roman"/>
        </w:rPr>
      </w:pPr>
      <w:hyperlink r:id="rId314"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i/>
          <w:iCs/>
        </w:rPr>
        <w:t xml:space="preserve">Cash dividends and other distributions </w:t>
      </w:r>
    </w:p>
    <w:p w:rsidR="00000000" w:rsidRDefault="003E5AFF">
      <w:pPr>
        <w:pStyle w:val="NormalWeb"/>
        <w:spacing w:before="120" w:beforeAutospacing="0" w:after="0" w:afterAutospacing="0"/>
      </w:pPr>
      <w:r>
        <w:rPr>
          <w:rFonts w:ascii="Arial" w:hAnsi="Arial" w:cs="Arial"/>
        </w:rPr>
        <w:t>Cash dividends paid by us with respect to the ADSs or shares of common stock held by a Foreign Holder will be subject to a 35.0% Chilean withholding tax, which is withheld and paid over by us to the Chilean Treasury. We refer to this as the Chilean withhol</w:t>
      </w:r>
      <w:r>
        <w:rPr>
          <w:rFonts w:ascii="Arial" w:hAnsi="Arial" w:cs="Arial"/>
        </w:rPr>
        <w:t>ding tax. A credit against the Chilean withholding tax is available based on the level of corporate income tax, or first category tax, actually paid by us on the taxable income to which the dividend is imputed; however, this credit does not reduce the Chil</w:t>
      </w:r>
      <w:r>
        <w:rPr>
          <w:rFonts w:ascii="Arial" w:hAnsi="Arial" w:cs="Arial"/>
        </w:rPr>
        <w:t>ean withholding tax on a one-for-one basis because it also increases the base on which the Chilean withholding tax is imposed. In addition, distribution of book income in excess of retained taxable income is subject to the Chilean withholding tax, but such</w:t>
      </w:r>
      <w:r>
        <w:rPr>
          <w:rFonts w:ascii="Arial" w:hAnsi="Arial" w:cs="Arial"/>
        </w:rPr>
        <w:t xml:space="preserve"> distribution is not eligible for the credit. Under Chilean income tax law, for purposes of determining the level of the first category tax that has been paid by us, dividends generally are assumed to have been paid out of our oldest retained taxable profi</w:t>
      </w:r>
      <w:r>
        <w:rPr>
          <w:rFonts w:ascii="Arial" w:hAnsi="Arial" w:cs="Arial"/>
        </w:rPr>
        <w:t xml:space="preserve">ts. From the year 2004, the first category tax rate is 17.0%, resulting in an effective dividend withholding tax rate of approximately 21.69%. As a way to obtain additional funds for the country_s reconstruction plan after the earthquake in February 2010, </w:t>
      </w:r>
      <w:r>
        <w:rPr>
          <w:rFonts w:ascii="Arial" w:hAnsi="Arial" w:cs="Arial"/>
        </w:rPr>
        <w:t>the first category tax rate was increased to 20.0%, during 2011 and 18.5% during 2012, returning in 2013 to the permanent first category tax rate of 17.0% (Circular Letter No. 95, of 2001 and 63, de 2010), nevertheless, on May 2, 2011 the Government propos</w:t>
      </w:r>
      <w:r>
        <w:rPr>
          <w:rFonts w:ascii="Arial" w:hAnsi="Arial" w:cs="Arial"/>
        </w:rPr>
        <w:t xml:space="preserve">ed to retain the corporate tax rate at 20%. The foregoing tax consequences apply to cash dividends paid by us. Dividend distributions made in property (other than shares of common stock) will be subject to the same Chilean tax rules as cash dividends. </w:t>
      </w:r>
    </w:p>
    <w:p w:rsidR="00000000" w:rsidRDefault="003E5AFF">
      <w:pPr>
        <w:pStyle w:val="NormalWeb"/>
        <w:spacing w:before="240" w:beforeAutospacing="0" w:after="0" w:afterAutospacing="0"/>
      </w:pPr>
      <w:r>
        <w:rPr>
          <w:rFonts w:ascii="Arial" w:hAnsi="Arial" w:cs="Arial"/>
          <w:i/>
          <w:iCs/>
        </w:rPr>
        <w:t>Cap</w:t>
      </w:r>
      <w:r>
        <w:rPr>
          <w:rFonts w:ascii="Arial" w:hAnsi="Arial" w:cs="Arial"/>
          <w:i/>
          <w:iCs/>
        </w:rPr>
        <w:t xml:space="preserve">ital gains </w:t>
      </w:r>
    </w:p>
    <w:p w:rsidR="00000000" w:rsidRDefault="003E5AFF">
      <w:pPr>
        <w:pStyle w:val="NormalWeb"/>
        <w:spacing w:before="120" w:beforeAutospacing="0" w:after="0" w:afterAutospacing="0"/>
      </w:pPr>
      <w:r>
        <w:rPr>
          <w:rFonts w:ascii="Arial" w:hAnsi="Arial" w:cs="Arial"/>
        </w:rPr>
        <w:t>Gains realized on the sale, exchange or other disposition by a foreign holder of ADSs (or ADRs evidencing ADSs) will not be subject to Chilean taxation, provided that such disposition occurs outside Chile. The deposit and withdrawal of shares o</w:t>
      </w:r>
      <w:r>
        <w:rPr>
          <w:rFonts w:ascii="Arial" w:hAnsi="Arial" w:cs="Arial"/>
        </w:rPr>
        <w:t xml:space="preserve">f common stock in exchange for ADRs will not be subject to any Chilean taxes. </w:t>
      </w:r>
    </w:p>
    <w:p w:rsidR="00000000" w:rsidRDefault="003E5AFF">
      <w:pPr>
        <w:pStyle w:val="NormalWeb"/>
        <w:spacing w:before="120" w:beforeAutospacing="0" w:after="0" w:afterAutospacing="0"/>
      </w:pPr>
      <w:r>
        <w:rPr>
          <w:rFonts w:ascii="Arial" w:hAnsi="Arial" w:cs="Arial"/>
        </w:rPr>
        <w:t>Gains recognized on a sale or exchange of shares of common stock received in exchange for ADSs (as distinguished from sales or exchanges of ADSs representing such shares of comm</w:t>
      </w:r>
      <w:r>
        <w:rPr>
          <w:rFonts w:ascii="Arial" w:hAnsi="Arial" w:cs="Arial"/>
        </w:rPr>
        <w:t>on stock) by a foreign holder will be subject to both the first category tax and the Chilean withholding tax (the former being creditable against the latter) if (1) the foreign holder has held such shares of common stock for less than one year since exchan</w:t>
      </w:r>
      <w:r>
        <w:rPr>
          <w:rFonts w:ascii="Arial" w:hAnsi="Arial" w:cs="Arial"/>
        </w:rPr>
        <w:t>ging ADSs for the shares of common stock, (2) the foreign holder acquired and disposed of the shares of common stock in the ordinary course of its business or as a regular trader of stock or (3) the sale is made to a company in which the foreign holder hol</w:t>
      </w:r>
      <w:r>
        <w:rPr>
          <w:rFonts w:ascii="Arial" w:hAnsi="Arial" w:cs="Arial"/>
        </w:rPr>
        <w:t>ds an interest as partner or shareholder (in the case of open stock corporations such interest must be 10.0% or more of the shares). A 20% withholding will be made on account of the seller_s final taxes. In all other cases, gain on the disposition of share</w:t>
      </w:r>
      <w:r>
        <w:rPr>
          <w:rFonts w:ascii="Arial" w:hAnsi="Arial" w:cs="Arial"/>
        </w:rPr>
        <w:t>s of common stock will be subject only to the first category tax levied as a sole tax. However, in these latter cases, if it is impossible to determine the taxable capital gain, a 5.0% withholding will be imposed on the total amount to be remitted abroad w</w:t>
      </w:r>
      <w:r>
        <w:rPr>
          <w:rFonts w:ascii="Arial" w:hAnsi="Arial" w:cs="Arial"/>
        </w:rPr>
        <w:t xml:space="preserve">ithout any deductions as a provisional payment of the total tax due. </w:t>
      </w:r>
    </w:p>
    <w:p w:rsidR="00000000" w:rsidRDefault="003E5AFF">
      <w:pPr>
        <w:pStyle w:val="NormalWeb"/>
        <w:spacing w:before="120" w:beforeAutospacing="0" w:after="0" w:afterAutospacing="0"/>
      </w:pPr>
      <w:r>
        <w:rPr>
          <w:rFonts w:ascii="Arial" w:hAnsi="Arial" w:cs="Arial"/>
        </w:rPr>
        <w:t>The tax basis of shares of common stock received in exchange for ADSs will be the acquisition value of such shares, adjusted according to the domestic inflation variation between the mon</w:t>
      </w:r>
      <w:r>
        <w:rPr>
          <w:rFonts w:ascii="Arial" w:hAnsi="Arial" w:cs="Arial"/>
        </w:rPr>
        <w:t xml:space="preserve">th preceding the acquisition and the month preceding the sale. The valuation procedure set forth in the Deposit Agreement, which values shares of common stock that are being exchanged at the highest price at which they trade on the Santiago Stock Exchange </w:t>
      </w:r>
      <w:r>
        <w:rPr>
          <w:rFonts w:ascii="Arial" w:hAnsi="Arial" w:cs="Arial"/>
        </w:rPr>
        <w:t xml:space="preserve">on the date of the exchange, generally will determine the acquisition value for this purpose. Consequently, the conversion of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- 261 - </w:t>
      </w:r>
    </w:p>
    <w:p w:rsidR="00000000" w:rsidRDefault="003E5AFF">
      <w:pPr>
        <w:rPr>
          <w:rFonts w:eastAsia="Times New Roman" w:cs="Times New Roman"/>
        </w:rPr>
      </w:pPr>
      <w:r>
        <w:rPr>
          <w:rFonts w:eastAsia="Times New Roman" w:cs="Times New Roman"/>
        </w:rPr>
        <w:pict>
          <v:rect id="_x0000_i1298" style="width:441.9pt;height:3pt" o:hralign="center" o:hrstd="t" o:hrnoshade="t" o:hr="t" fillcolor="#999" stroked="f"/>
        </w:pict>
      </w:r>
    </w:p>
    <w:p w:rsidR="00000000" w:rsidRDefault="003E5AFF">
      <w:pPr>
        <w:pStyle w:val="Heading5"/>
        <w:rPr>
          <w:rFonts w:eastAsia="Times New Roman" w:cs="Times New Roman"/>
        </w:rPr>
      </w:pPr>
      <w:hyperlink r:id="rId315"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 xml:space="preserve">ADSs into shares of common stock and sale of such shares of common stock for the value established under the Deposit Agreement will not generate a capital gain subject to taxation in Chile, as long as the sale price is equal to the acquisition price fixed </w:t>
      </w:r>
      <w:r>
        <w:rPr>
          <w:rFonts w:ascii="Arial" w:hAnsi="Arial" w:cs="Arial"/>
        </w:rPr>
        <w:t xml:space="preserve">at the moment of the conversion. In the event that the sale price is greater than the acquisition price, said capital gain is subject to the first category tax and the additional taxes mentioned above. </w:t>
      </w:r>
    </w:p>
    <w:p w:rsidR="00000000" w:rsidRDefault="003E5AFF">
      <w:pPr>
        <w:pStyle w:val="NormalWeb"/>
        <w:spacing w:before="120" w:beforeAutospacing="0" w:after="0" w:afterAutospacing="0"/>
      </w:pPr>
      <w:r>
        <w:rPr>
          <w:rFonts w:ascii="Arial" w:hAnsi="Arial" w:cs="Arial"/>
        </w:rPr>
        <w:t>The distribution and exercise of preemptive rights re</w:t>
      </w:r>
      <w:r>
        <w:rPr>
          <w:rFonts w:ascii="Arial" w:hAnsi="Arial" w:cs="Arial"/>
        </w:rPr>
        <w:t>lating to the shares of common stock will not be subject to Chilean taxation. Amounts received in exchange for the shares or assignment of preemptive rights relating to the shares will be subject to both the first category tax and the Chilean withholding t</w:t>
      </w:r>
      <w:r>
        <w:rPr>
          <w:rFonts w:ascii="Arial" w:hAnsi="Arial" w:cs="Arial"/>
        </w:rPr>
        <w:t xml:space="preserve">ax (the former being creditable against the latter to the extent described above). </w:t>
      </w:r>
    </w:p>
    <w:p w:rsidR="00000000" w:rsidRDefault="003E5AFF">
      <w:pPr>
        <w:pStyle w:val="NormalWeb"/>
        <w:spacing w:before="120" w:beforeAutospacing="0" w:after="0" w:afterAutospacing="0"/>
      </w:pPr>
      <w:r>
        <w:rPr>
          <w:rFonts w:ascii="Arial" w:hAnsi="Arial" w:cs="Arial"/>
        </w:rPr>
        <w:t>If the Proposed U.S.-Chile Treaty becomes effective, it may further restrict the amount of Chilean tax, if any, imposed on gains derived from the sale or exchange of shares</w:t>
      </w:r>
      <w:r>
        <w:rPr>
          <w:rFonts w:ascii="Arial" w:hAnsi="Arial" w:cs="Arial"/>
        </w:rPr>
        <w:t xml:space="preserve"> of common stock by U.S. residents eligible for the benefits of the treaty. If the Proposed U.S.-Chile Treaty becomes effective, U.S. investors should consult their tax advisers as to the applicability of the treaty in their particular circumstances. </w:t>
      </w:r>
    </w:p>
    <w:p w:rsidR="00000000" w:rsidRDefault="003E5AFF">
      <w:pPr>
        <w:pStyle w:val="NormalWeb"/>
        <w:spacing w:before="120" w:beforeAutospacing="0" w:after="0" w:afterAutospacing="0"/>
      </w:pPr>
      <w:r>
        <w:rPr>
          <w:rFonts w:ascii="Arial" w:hAnsi="Arial" w:cs="Arial"/>
        </w:rPr>
        <w:t xml:space="preserve">The </w:t>
      </w:r>
      <w:r>
        <w:rPr>
          <w:rFonts w:ascii="Arial" w:hAnsi="Arial" w:cs="Arial"/>
        </w:rPr>
        <w:t xml:space="preserve">Chilean Internal Revenue Service has not enacted any rule nor issued any ruling about the applicability of the following norms to the foreign holders of ADRs. </w:t>
      </w:r>
    </w:p>
    <w:p w:rsidR="00000000" w:rsidRDefault="003E5AFF">
      <w:pPr>
        <w:pStyle w:val="NormalWeb"/>
        <w:spacing w:before="120" w:beforeAutospacing="0" w:after="0" w:afterAutospacing="0"/>
      </w:pPr>
      <w:r>
        <w:rPr>
          <w:rFonts w:ascii="Arial" w:hAnsi="Arial" w:cs="Arial"/>
        </w:rPr>
        <w:t>Pursuant to an amendment to the Chilean Income Tax Law published on November 7, 2001 (Law No. 19</w:t>
      </w:r>
      <w:r>
        <w:rPr>
          <w:rFonts w:ascii="Arial" w:hAnsi="Arial" w:cs="Arial"/>
        </w:rPr>
        <w:t>,768, amended by Law 20,448, dated August 13, 2010), the sale and disposition of shares of Chilean public corporations which are actively traded on stock exchanges is exempted from Chilean taxes on capital gains if the sale or disposition was made on a loc</w:t>
      </w:r>
      <w:r>
        <w:rPr>
          <w:rFonts w:ascii="Arial" w:hAnsi="Arial" w:cs="Arial"/>
        </w:rPr>
        <w:t>al stock exchange so long as the shares were purchased on a public stock exchange. However, Law N_20,448 limited this benefit to shares acquired and sold on a local stock exchange, with which it is unlikely that it will apply to the sale of share resulting</w:t>
      </w:r>
      <w:r>
        <w:rPr>
          <w:rFonts w:ascii="Arial" w:hAnsi="Arial" w:cs="Arial"/>
        </w:rPr>
        <w:t xml:space="preserve"> from an exchange of ADSs. Investors who request delivery of ADSs in the form of shares of common stock should consult with their tax adviser to determine whether such shares will be eligible for the foregoing exemption. </w:t>
      </w:r>
    </w:p>
    <w:p w:rsidR="00000000" w:rsidRDefault="003E5AFF">
      <w:pPr>
        <w:pStyle w:val="NormalWeb"/>
        <w:spacing w:before="240" w:beforeAutospacing="0" w:after="0" w:afterAutospacing="0"/>
      </w:pPr>
      <w:r>
        <w:rPr>
          <w:rFonts w:ascii="Arial" w:hAnsi="Arial" w:cs="Arial"/>
          <w:i/>
          <w:iCs/>
        </w:rPr>
        <w:t>Exempt capital gains_article 106 o</w:t>
      </w:r>
      <w:r>
        <w:rPr>
          <w:rFonts w:ascii="Arial" w:hAnsi="Arial" w:cs="Arial"/>
          <w:i/>
          <w:iCs/>
        </w:rPr>
        <w:t xml:space="preserve">f the Chilean income tax law </w:t>
      </w:r>
    </w:p>
    <w:p w:rsidR="00000000" w:rsidRDefault="003E5AFF">
      <w:pPr>
        <w:pStyle w:val="NormalWeb"/>
        <w:spacing w:before="120" w:beforeAutospacing="0" w:after="0" w:afterAutospacing="0"/>
      </w:pPr>
      <w:r>
        <w:rPr>
          <w:rFonts w:ascii="Arial" w:hAnsi="Arial" w:cs="Arial"/>
        </w:rPr>
        <w:t>According to Article 106 of the Chilean Income Tax law, the sale and disposition of shares of Chilean public corporations which are significantly traded on a Chilean stock exchange by foreign institutional investors, such as m</w:t>
      </w:r>
      <w:r>
        <w:rPr>
          <w:rFonts w:ascii="Arial" w:hAnsi="Arial" w:cs="Arial"/>
        </w:rPr>
        <w:t xml:space="preserve">utual funds, pension funds and others, is exempted of any Chilean tax on capital gains if the sale or disposition was made through a Chilean stock exchange or a tender offer. </w:t>
      </w:r>
    </w:p>
    <w:p w:rsidR="00000000" w:rsidRDefault="003E5AFF">
      <w:pPr>
        <w:pStyle w:val="NormalWeb"/>
        <w:spacing w:before="120" w:beforeAutospacing="0" w:after="0" w:afterAutospacing="0"/>
        <w:ind w:left="238" w:hanging="245"/>
      </w:pPr>
      <w:r>
        <w:rPr>
          <w:rFonts w:ascii="Arial" w:hAnsi="Arial" w:cs="Arial"/>
        </w:rPr>
        <w:t xml:space="preserve">A foreign institutional investor is an entity that is either: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fund that makes public offers of its shares in a country in which public debt has been rated investment grade by an international risk classification agency qualified by the local exchange regulator (_SVS_);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 fund that is registered with a</w:t>
            </w:r>
            <w:r>
              <w:rPr>
                <w:rFonts w:ascii="Arial" w:hAnsi="Arial" w:cs="Arial"/>
              </w:rPr>
              <w:t xml:space="preserve"> regulatory entity of a country in which public debt has been rated investment grade by an international risk classification agency qualified by the SVS, provided that the investments in Chile, including securities issued abroad that represent Chilean secu</w:t>
            </w:r>
            <w:r>
              <w:rPr>
                <w:rFonts w:ascii="Arial" w:hAnsi="Arial" w:cs="Arial"/>
              </w:rPr>
              <w:t xml:space="preserve">rities, held by the fund represent less than 30% of its share value;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fund whose investments in Chile, including securities issued abroad representing Chilean securities, represent less than 30% of its portfolio, provided that no </w:t>
            </w:r>
            <w:r>
              <w:rPr>
                <w:rFonts w:ascii="Arial" w:hAnsi="Arial" w:cs="Arial"/>
              </w:rPr>
              <w:t xml:space="preserve">more than 10% of the equity or right to the profits of the fund is directly or indirectly owned by Chilean residents;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- 262 - </w:t>
      </w:r>
    </w:p>
    <w:p w:rsidR="00000000" w:rsidRDefault="003E5AFF">
      <w:pPr>
        <w:rPr>
          <w:rFonts w:eastAsia="Times New Roman" w:cs="Times New Roman"/>
        </w:rPr>
      </w:pPr>
      <w:r>
        <w:rPr>
          <w:rFonts w:eastAsia="Times New Roman" w:cs="Times New Roman"/>
        </w:rPr>
        <w:pict>
          <v:rect id="_x0000_i1299" style="width:441.9pt;height:3pt" o:hralign="center" o:hrstd="t" o:hrnoshade="t" o:hr="t" fillcolor="#999" stroked="f"/>
        </w:pict>
      </w:r>
    </w:p>
    <w:p w:rsidR="00000000" w:rsidRDefault="003E5AFF">
      <w:pPr>
        <w:pStyle w:val="Heading5"/>
        <w:rPr>
          <w:rFonts w:eastAsia="Times New Roman" w:cs="Times New Roman"/>
        </w:rPr>
      </w:pPr>
      <w:hyperlink r:id="rId316" w:anchor="toc" w:history="1">
        <w:r>
          <w:rPr>
            <w:rStyle w:val="Hyperlink"/>
            <w:rFonts w:eastAsia="Times New Roman" w:cs="Times New Roman"/>
          </w:rPr>
          <w:t>Table of Contents</w:t>
        </w:r>
      </w:hyperlink>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pension fund that is exclusively formed by individuals that receive their pension on account of capital accumulated in the fund or its main purpose is to </w:t>
            </w:r>
            <w:r>
              <w:rPr>
                <w:rFonts w:ascii="Arial" w:hAnsi="Arial" w:cs="Arial"/>
              </w:rPr>
              <w:t xml:space="preserve">finance the funds of individuals and it is regulated and supervised by the competent foreign authority;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fund regulated by Chilean Law N_ 18,657 (referred to as Foreign Capital Investment Funds Law), in which case all holders of its shares must reside abroad or be qualified as local institutional investors;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another kind of institutional for</w:t>
            </w:r>
            <w:r>
              <w:rPr>
                <w:rFonts w:ascii="Arial" w:hAnsi="Arial" w:cs="Arial"/>
              </w:rPr>
              <w:t xml:space="preserve">eign investor that complies with the characteristics defined by a regulation with the prior report of the SVS and the Chilean Internal Revenue Service. </w:t>
            </w:r>
          </w:p>
        </w:tc>
      </w:tr>
    </w:tbl>
    <w:p w:rsidR="00000000" w:rsidRDefault="003E5AFF">
      <w:pPr>
        <w:pStyle w:val="NormalWeb"/>
        <w:spacing w:before="120" w:beforeAutospacing="0" w:after="0" w:afterAutospacing="0"/>
      </w:pPr>
      <w:r>
        <w:rPr>
          <w:rFonts w:ascii="Arial" w:hAnsi="Arial" w:cs="Arial"/>
        </w:rPr>
        <w:t>In order to be entitled to the exemption, foreign institutional investors, during the time in which the</w:t>
      </w:r>
      <w:r>
        <w:rPr>
          <w:rFonts w:ascii="Arial" w:hAnsi="Arial" w:cs="Arial"/>
        </w:rPr>
        <w:t xml:space="preserve">y operate in Chile must: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be organized abroad and not be domiciled in Chile;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prove their qualification as foreign institutional investors as mentioned above;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not participate, directly or indirectly, in the control of the issuers of the securities in which it invests and not hold, directly or indirectly, 10% or more of such companies_ capital or profits;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execute an agreement in writing with a Chile</w:t>
            </w:r>
            <w:r>
              <w:rPr>
                <w:rFonts w:ascii="Arial" w:hAnsi="Arial" w:cs="Arial"/>
              </w:rPr>
              <w:t>an bank or securities broker in which the intermediary is responsible for the execution of purchase and sale orders and for the verification, at the time of the respective remittance, that such remittances relate to capital gains that are exempt from incom</w:t>
            </w:r>
            <w:r>
              <w:rPr>
                <w:rFonts w:ascii="Arial" w:hAnsi="Arial" w:cs="Arial"/>
              </w:rPr>
              <w:t xml:space="preserve">e tax in Chile or, if they are subject to income tax, that the applicable withholdings have been made; and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register in a special registry with the Chilean Internal Revenue Service. </w:t>
            </w:r>
          </w:p>
        </w:tc>
      </w:tr>
    </w:tbl>
    <w:p w:rsidR="00000000" w:rsidRDefault="003E5AFF">
      <w:pPr>
        <w:pStyle w:val="NormalWeb"/>
        <w:spacing w:before="240" w:beforeAutospacing="0" w:after="0" w:afterAutospacing="0"/>
      </w:pPr>
      <w:r>
        <w:rPr>
          <w:rFonts w:ascii="Arial" w:hAnsi="Arial" w:cs="Arial"/>
          <w:i/>
          <w:iCs/>
        </w:rPr>
        <w:t xml:space="preserve">Exempt capital gains_article 107 of the Chilean income tax law </w:t>
      </w:r>
    </w:p>
    <w:p w:rsidR="00000000" w:rsidRDefault="003E5AFF">
      <w:pPr>
        <w:pStyle w:val="NormalWeb"/>
        <w:spacing w:before="120" w:beforeAutospacing="0" w:after="0" w:afterAutospacing="0"/>
      </w:pPr>
      <w:r>
        <w:rPr>
          <w:rFonts w:ascii="Arial" w:hAnsi="Arial" w:cs="Arial"/>
        </w:rPr>
        <w:t>According to article 107 of the Chilean Income Tax Law, gains derived from the sale or transfer of shares of publicly-traded companies organized in Chile that are actively traded in a stock ex</w:t>
      </w:r>
      <w:r>
        <w:rPr>
          <w:rFonts w:ascii="Arial" w:hAnsi="Arial" w:cs="Arial"/>
        </w:rPr>
        <w:t xml:space="preserve">change, as defined in the relevant regulation, are exempt of taxes in Chile, provided that the following requirements are met: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The seller must have acquired the shares: (a) </w:t>
            </w:r>
            <w:r>
              <w:rPr>
                <w:rFonts w:ascii="Arial" w:hAnsi="Arial" w:cs="Arial"/>
              </w:rPr>
              <w:t>in a Chilean stock exchange authorized by the Chilean Superintendency of Securities and Insurance; (b) pursuant to a regulated tender offer carried out according to Title XXV of the Chilean Securities Market Law; (c) at the time of incorporation of the cor</w:t>
            </w:r>
            <w:r>
              <w:rPr>
                <w:rFonts w:ascii="Arial" w:hAnsi="Arial" w:cs="Arial"/>
              </w:rPr>
              <w:t>poration or pursuant to a capital increase; (d) pursuant to the exchange of public traded securities convertible in shares (in this case the acquisition cost of the shares corresponds to the exchange price), or (e) in a redemption of securities from certai</w:t>
            </w:r>
            <w:r>
              <w:rPr>
                <w:rFonts w:ascii="Arial" w:hAnsi="Arial" w:cs="Arial"/>
              </w:rPr>
              <w:t xml:space="preserve">n mutual funds;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The shares must be sold: (a) in a stock exchange authorized by the Chilean Superintendency of Securities and Insurance; (b) pursuant to a regulated tender offer, or (c) in a contribution of securities on certain mutual funds. </w:t>
            </w:r>
          </w:p>
        </w:tc>
      </w:tr>
    </w:tbl>
    <w:p w:rsidR="00000000" w:rsidRDefault="003E5AFF">
      <w:pPr>
        <w:pStyle w:val="NormalWeb"/>
        <w:spacing w:before="120" w:beforeAutospacing="0" w:after="0" w:afterAutospacing="0"/>
      </w:pPr>
      <w:r>
        <w:rPr>
          <w:rFonts w:ascii="Arial" w:hAnsi="Arial" w:cs="Arial"/>
        </w:rPr>
        <w:t>The exemption under analysis also applies if the sale or transfer of shares is executed within 90 days following the day in which they were no longer considered as actively traded. In such case, the profit exempted from Chilean taxes will be up to the ave</w:t>
      </w:r>
      <w:r>
        <w:rPr>
          <w:rFonts w:ascii="Arial" w:hAnsi="Arial" w:cs="Arial"/>
        </w:rPr>
        <w:t xml:space="preserve">rage price of shares within the last 90 days in which they were actively traded. Any profit above the average price will be subject to the general tax regime applicable to the transfer of shares.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- 263 - </w:t>
      </w:r>
    </w:p>
    <w:p w:rsidR="00000000" w:rsidRDefault="003E5AFF">
      <w:pPr>
        <w:rPr>
          <w:rFonts w:eastAsia="Times New Roman" w:cs="Times New Roman"/>
        </w:rPr>
      </w:pPr>
      <w:r>
        <w:rPr>
          <w:rFonts w:eastAsia="Times New Roman" w:cs="Times New Roman"/>
        </w:rPr>
        <w:pict>
          <v:rect id="_x0000_i1300" style="width:441.9pt;height:3pt" o:hralign="center" o:hrstd="t" o:hrnoshade="t" o:hr="t" fillcolor="#999" stroked="f"/>
        </w:pict>
      </w:r>
    </w:p>
    <w:p w:rsidR="00000000" w:rsidRDefault="003E5AFF">
      <w:pPr>
        <w:pStyle w:val="Heading5"/>
        <w:rPr>
          <w:rFonts w:eastAsia="Times New Roman" w:cs="Times New Roman"/>
        </w:rPr>
      </w:pPr>
      <w:hyperlink r:id="rId317"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For these purposes, shares are considered to be significantly traded on a Chilean stock exchange (p</w:t>
      </w:r>
      <w:r>
        <w:rPr>
          <w:rFonts w:ascii="Arial" w:hAnsi="Arial" w:cs="Arial"/>
        </w:rPr>
        <w:t xml:space="preserve">resencia burs_til) when they (1) are registered in the securities registry kept by the SVS, (2) are registered in a Chilean Stock Exchange; and (3) fulfill at least one of the following requirements: (i) have an adjusted presence equal to or above 25%; or </w:t>
      </w:r>
      <w:r>
        <w:rPr>
          <w:rFonts w:ascii="Arial" w:hAnsi="Arial" w:cs="Arial"/>
        </w:rPr>
        <w:t>(ii) have a _Market Maker_, as such term is defined in the Norma de Car_cter General No. 327, issued by the SVS on January 17, 2012. Accordingly, shares are considered to have a _Market Maker_ if the issuer thereof has entered into an agreement with at lea</w:t>
      </w:r>
      <w:r>
        <w:rPr>
          <w:rFonts w:ascii="Arial" w:hAnsi="Arial" w:cs="Arial"/>
        </w:rPr>
        <w:t xml:space="preserve">st one stock broker, and such agreement complies with the requirements set forth in the aforementioned Norma de Car_cter General No. 237. Currently, our shares are considered to be significantly traded on a Chilean stock exchange. </w:t>
      </w:r>
    </w:p>
    <w:p w:rsidR="00000000" w:rsidRDefault="003E5AFF">
      <w:pPr>
        <w:pStyle w:val="NormalWeb"/>
        <w:spacing w:before="240" w:beforeAutospacing="0" w:after="0" w:afterAutospacing="0"/>
      </w:pPr>
      <w:r>
        <w:rPr>
          <w:rFonts w:ascii="Arial" w:hAnsi="Arial" w:cs="Arial"/>
          <w:i/>
          <w:iCs/>
        </w:rPr>
        <w:t xml:space="preserve">Other Chilean taxes </w:t>
      </w:r>
    </w:p>
    <w:p w:rsidR="00000000" w:rsidRDefault="003E5AFF">
      <w:pPr>
        <w:pStyle w:val="NormalWeb"/>
        <w:spacing w:before="120" w:beforeAutospacing="0" w:after="0" w:afterAutospacing="0"/>
      </w:pPr>
      <w:r>
        <w:rPr>
          <w:rFonts w:ascii="Arial" w:hAnsi="Arial" w:cs="Arial"/>
        </w:rPr>
        <w:t>No Chilean inheritance, gift or succession taxes apply to the transfer or disposition of the ADSs by a foreign holder but such taxes generally will apply to the transfer at death or by a gift of shares of common stock by a foreign holder. No Chilean stamp,</w:t>
      </w:r>
      <w:r>
        <w:rPr>
          <w:rFonts w:ascii="Arial" w:hAnsi="Arial" w:cs="Arial"/>
        </w:rPr>
        <w:t xml:space="preserve"> issue, registration or similar taxes or duties apply to foreign holders of ADSs or shares of common stock. </w:t>
      </w:r>
    </w:p>
    <w:p w:rsidR="00000000" w:rsidRDefault="003E5AFF">
      <w:pPr>
        <w:pStyle w:val="NormalWeb"/>
        <w:spacing w:before="240" w:beforeAutospacing="0" w:after="0" w:afterAutospacing="0"/>
      </w:pPr>
      <w:r>
        <w:rPr>
          <w:rFonts w:ascii="Arial" w:hAnsi="Arial" w:cs="Arial"/>
          <w:i/>
          <w:iCs/>
        </w:rPr>
        <w:t xml:space="preserve">Withholding tax certificates </w:t>
      </w:r>
    </w:p>
    <w:p w:rsidR="00000000" w:rsidRDefault="003E5AFF">
      <w:pPr>
        <w:pStyle w:val="NormalWeb"/>
        <w:spacing w:before="120" w:beforeAutospacing="0" w:after="0" w:afterAutospacing="0"/>
      </w:pPr>
      <w:r>
        <w:rPr>
          <w:rFonts w:ascii="Arial" w:hAnsi="Arial" w:cs="Arial"/>
        </w:rPr>
        <w:t>Upon request, we will provide to foreign holders appropriate documentation evidencing the payment of the Chilean with</w:t>
      </w:r>
      <w:r>
        <w:rPr>
          <w:rFonts w:ascii="Arial" w:hAnsi="Arial" w:cs="Arial"/>
        </w:rPr>
        <w:t xml:space="preserve">holding tax. </w:t>
      </w:r>
    </w:p>
    <w:p w:rsidR="00000000" w:rsidRDefault="003E5AFF">
      <w:pPr>
        <w:pStyle w:val="NormalWeb"/>
        <w:spacing w:before="240" w:beforeAutospacing="0" w:after="0" w:afterAutospacing="0"/>
      </w:pPr>
      <w:r>
        <w:rPr>
          <w:rFonts w:ascii="Arial" w:hAnsi="Arial" w:cs="Arial"/>
          <w:b/>
          <w:bCs/>
          <w:i/>
          <w:iCs/>
        </w:rPr>
        <w:t xml:space="preserve">Material United States federal income tax considerations </w:t>
      </w:r>
    </w:p>
    <w:p w:rsidR="00000000" w:rsidRDefault="003E5AFF">
      <w:pPr>
        <w:pStyle w:val="NormalWeb"/>
        <w:spacing w:before="120" w:beforeAutospacing="0" w:after="0" w:afterAutospacing="0"/>
      </w:pPr>
      <w:r>
        <w:rPr>
          <w:rFonts w:ascii="Arial" w:hAnsi="Arial" w:cs="Arial"/>
        </w:rPr>
        <w:t>The following section is the opinion of Milbank, Tweed, Hadley, &amp; McCloy LLP as to the material U.S. federal income tax consequences of the acquisition, ownership and disposition of ou</w:t>
      </w:r>
      <w:r>
        <w:rPr>
          <w:rFonts w:ascii="Arial" w:hAnsi="Arial" w:cs="Arial"/>
        </w:rPr>
        <w:t xml:space="preserve">r ADSs under currently applicable law. It does not address any aspect of U.S. federal gift or estate tax or the state, local or foreign tax consequences of an investment in our ADSs. This discussion applies to you only if you hold and beneficially own our </w:t>
      </w:r>
      <w:r>
        <w:rPr>
          <w:rFonts w:ascii="Arial" w:hAnsi="Arial" w:cs="Arial"/>
        </w:rPr>
        <w:t xml:space="preserve">ADSs as capital assets for tax purposes (generally, property held for investment). This discussion does not apply to you if you are a member of a class of holders subject to special rules, such as: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dealers in securities or currencies;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traders in securities that elect to use a mark-to-market method of accounting for securities holdings;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banks or other financial institutions;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insurance companies;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tax-exempt organizations;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partnerships and other entities treated as partnerships for U.S. federal income tax purposes or persons holding ADSs through any such entities;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real estate investment trusts;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regulated investment companies;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persons that hold ADSs as part of a hedge, straddle, constructive sale, conversion transaction or other integrated investment; </w:t>
            </w:r>
          </w:p>
        </w:tc>
      </w:tr>
    </w:tbl>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- 264 - </w:t>
      </w:r>
    </w:p>
    <w:p w:rsidR="00000000" w:rsidRDefault="003E5AFF">
      <w:pPr>
        <w:rPr>
          <w:rFonts w:eastAsia="Times New Roman" w:cs="Times New Roman"/>
        </w:rPr>
      </w:pPr>
      <w:r>
        <w:rPr>
          <w:rFonts w:eastAsia="Times New Roman" w:cs="Times New Roman"/>
        </w:rPr>
        <w:pict>
          <v:rect id="_x0000_i1301" style="width:441.9pt;height:3pt" o:hralign="center" o:hrstd="t" o:hrnoshade="t" o:hr="t" fillcolor="#999" stroked="f"/>
        </w:pict>
      </w:r>
    </w:p>
    <w:p w:rsidR="00000000" w:rsidRDefault="003E5AFF">
      <w:pPr>
        <w:pStyle w:val="Heading5"/>
        <w:rPr>
          <w:rFonts w:eastAsia="Times New Roman" w:cs="Times New Roman"/>
        </w:rPr>
      </w:pPr>
      <w:hyperlink r:id="rId318" w:anchor="toc" w:history="1">
        <w:r>
          <w:rPr>
            <w:rStyle w:val="Hyperlink"/>
            <w:rFonts w:eastAsia="Times New Roman" w:cs="Times New Roman"/>
          </w:rPr>
          <w:t>Table</w:t>
        </w:r>
        <w:r>
          <w:rPr>
            <w:rStyle w:val="Hyperlink"/>
            <w:rFonts w:eastAsia="Times New Roman" w:cs="Times New Roman"/>
          </w:rPr>
          <w:t xml:space="preserve"> of Contents</w:t>
        </w:r>
      </w:hyperlink>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U.S. holders (as defined below) whose functional currency for tax purposes is not the U.S. dollar;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persons liable for alternative minimum tax;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persons who actually or constructively own 10.0% or more of the total combined voting power of all classes of our shares (including ADSs) entitled to vote. </w:t>
            </w:r>
          </w:p>
        </w:tc>
      </w:tr>
    </w:tbl>
    <w:p w:rsidR="00000000" w:rsidRDefault="003E5AFF">
      <w:pPr>
        <w:pStyle w:val="NormalWeb"/>
        <w:spacing w:before="120" w:beforeAutospacing="0" w:after="0" w:afterAutospacing="0"/>
      </w:pPr>
      <w:r>
        <w:rPr>
          <w:rFonts w:ascii="Arial" w:hAnsi="Arial" w:cs="Arial"/>
        </w:rPr>
        <w:t>This discussion is based on the U.S. Internal Revenue Code of 1986, as amended, or the Code, its le</w:t>
      </w:r>
      <w:r>
        <w:rPr>
          <w:rFonts w:ascii="Arial" w:hAnsi="Arial" w:cs="Arial"/>
        </w:rPr>
        <w:t>gislative history, existing and proposed regulations promulgated thereunder, published rulings and court decisions, all as currently in effect. These laws are subject to change, possibly on a retroactive basis. In addition, this discussion relies in part o</w:t>
      </w:r>
      <w:r>
        <w:rPr>
          <w:rFonts w:ascii="Arial" w:hAnsi="Arial" w:cs="Arial"/>
        </w:rPr>
        <w:t>n our assumptions regarding the projected value of our shares and the nature of our business. Finally, this discussion is based in part upon the representations of the depositary and the assumption that each obligation in the deposit agreement and any rela</w:t>
      </w:r>
      <w:r>
        <w:rPr>
          <w:rFonts w:ascii="Arial" w:hAnsi="Arial" w:cs="Arial"/>
        </w:rPr>
        <w:t xml:space="preserve">ted agreement will be performed in accordance with its terms. </w:t>
      </w:r>
    </w:p>
    <w:p w:rsidR="00000000" w:rsidRDefault="003E5AFF">
      <w:pPr>
        <w:pStyle w:val="NormalWeb"/>
        <w:spacing w:before="120" w:beforeAutospacing="0" w:after="0" w:afterAutospacing="0"/>
      </w:pPr>
      <w:r>
        <w:rPr>
          <w:rFonts w:ascii="Arial" w:hAnsi="Arial" w:cs="Arial"/>
        </w:rPr>
        <w:t>You should consult your own tax advisor concerning the particular U.S. federal income tax consequences to you of the purchase, ownership and disposition of our ADSs, as well as the consequences</w:t>
      </w:r>
      <w:r>
        <w:rPr>
          <w:rFonts w:ascii="Arial" w:hAnsi="Arial" w:cs="Arial"/>
        </w:rPr>
        <w:t xml:space="preserve"> to you arising under the laws of any other taxing jurisdiction. </w:t>
      </w:r>
    </w:p>
    <w:p w:rsidR="00000000" w:rsidRDefault="003E5AFF">
      <w:pPr>
        <w:pStyle w:val="NormalWeb"/>
        <w:spacing w:before="120" w:beforeAutospacing="0" w:after="0" w:afterAutospacing="0"/>
      </w:pPr>
      <w:r>
        <w:rPr>
          <w:rFonts w:ascii="Arial" w:hAnsi="Arial" w:cs="Arial"/>
        </w:rPr>
        <w:t xml:space="preserve">For purposes of the U.S. federal income tax discussion below, you are a _U.S. holder_ if you beneficially own our ADSs and are: </w:t>
      </w:r>
    </w:p>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 individual who is a citizen or resident of the United States for U.S. federal income tax purposes;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 corporation, or other entity taxable as a corporation, that was created or organized in or under the laws of the United States, any state </w:t>
            </w:r>
            <w:r>
              <w:rPr>
                <w:rFonts w:ascii="Arial" w:hAnsi="Arial" w:cs="Arial"/>
              </w:rPr>
              <w:t xml:space="preserve">thereof or the District of Columbia;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 xml:space="preserve">an estate the income of which is subject to U.S. federal income tax regardless of its source; or </w:t>
            </w:r>
          </w:p>
        </w:tc>
      </w:tr>
    </w:tbl>
    <w:p w:rsidR="00000000" w:rsidRDefault="003E5AFF">
      <w:pPr>
        <w:pStyle w:val="NormalWeb"/>
        <w:spacing w:before="0" w:beforeAutospacing="0" w:after="0" w:afterAutospacing="0"/>
        <w:rPr>
          <w:sz w:val="12"/>
          <w:szCs w:val="12"/>
        </w:rPr>
      </w:pPr>
      <w:r>
        <w:rPr>
          <w:sz w:val="12"/>
          <w:szCs w:val="12"/>
        </w:rPr>
        <w:t> </w:t>
      </w:r>
    </w:p>
    <w:tbl>
      <w:tblPr>
        <w:tblW w:w="5000" w:type="pct"/>
        <w:tblCellMar>
          <w:left w:w="0" w:type="dxa"/>
          <w:right w:w="0" w:type="dxa"/>
        </w:tblCellMar>
        <w:tblLook w:val="04A0" w:firstRow="1" w:lastRow="0" w:firstColumn="1" w:lastColumn="0" w:noHBand="0" w:noVBand="1"/>
      </w:tblPr>
      <w:tblGrid>
        <w:gridCol w:w="112"/>
        <w:gridCol w:w="68"/>
        <w:gridCol w:w="8126"/>
      </w:tblGrid>
      <w:tr w:rsidR="00000000">
        <w:tc>
          <w:tcPr>
            <w:tcW w:w="50" w:type="pct"/>
            <w:hideMark/>
          </w:tcPr>
          <w:p w:rsidR="00000000" w:rsidRDefault="003E5AFF">
            <w:pPr>
              <w:rPr>
                <w:rFonts w:eastAsia="Times New Roman" w:cs="Times New Roman"/>
              </w:rPr>
            </w:pPr>
            <w:r>
              <w:rPr>
                <w:rFonts w:ascii="Arial" w:eastAsia="Times New Roman" w:hAnsi="Arial" w:cs="Arial"/>
              </w:rPr>
              <w:t>_</w:t>
            </w:r>
          </w:p>
        </w:tc>
        <w:tc>
          <w:tcPr>
            <w:tcW w:w="50" w:type="pct"/>
            <w:hideMark/>
          </w:tcPr>
          <w:p w:rsidR="00000000" w:rsidRDefault="003E5AFF">
            <w:pPr>
              <w:rPr>
                <w:rFonts w:eastAsia="Times New Roman" w:cs="Times New Roman"/>
              </w:rPr>
            </w:pPr>
            <w:r>
              <w:rPr>
                <w:rFonts w:eastAsia="Times New Roman" w:cs="Times New Roman"/>
                <w:sz w:val="15"/>
                <w:szCs w:val="15"/>
              </w:rPr>
              <w:t> </w:t>
            </w:r>
          </w:p>
        </w:tc>
        <w:tc>
          <w:tcPr>
            <w:tcW w:w="0" w:type="auto"/>
            <w:hideMark/>
          </w:tcPr>
          <w:p w:rsidR="00000000" w:rsidRDefault="003E5AFF">
            <w:pPr>
              <w:pStyle w:val="NormalWeb"/>
            </w:pPr>
            <w:r>
              <w:rPr>
                <w:rFonts w:ascii="Arial" w:hAnsi="Arial" w:cs="Arial"/>
              </w:rPr>
              <w:t>a trust, if (a) </w:t>
            </w:r>
            <w:r>
              <w:rPr>
                <w:rFonts w:ascii="Arial" w:hAnsi="Arial" w:cs="Arial"/>
              </w:rPr>
              <w:t>a court within the United States is able to exercise primary supervision over its administration and one or more U.S. persons have the authority to control all substantial decisions of the trust, or (b) the trust has a valid election in effect to be treate</w:t>
            </w:r>
            <w:r>
              <w:rPr>
                <w:rFonts w:ascii="Arial" w:hAnsi="Arial" w:cs="Arial"/>
              </w:rPr>
              <w:t xml:space="preserve">d as a U.S. person. </w:t>
            </w:r>
          </w:p>
        </w:tc>
      </w:tr>
    </w:tbl>
    <w:p w:rsidR="00000000" w:rsidRDefault="003E5AFF">
      <w:pPr>
        <w:pStyle w:val="NormalWeb"/>
        <w:spacing w:before="120" w:beforeAutospacing="0" w:after="0" w:afterAutospacing="0"/>
      </w:pPr>
      <w:r>
        <w:rPr>
          <w:rFonts w:ascii="Arial" w:hAnsi="Arial" w:cs="Arial"/>
        </w:rPr>
        <w:t>Except where specifically described below, this discussion assumes that we are not a not a _passive foreign investment company_ (a _PFIC_) for U.S. federal income tax purposes. For U.S. federal income tax purposes, income earned throug</w:t>
      </w:r>
      <w:r>
        <w:rPr>
          <w:rFonts w:ascii="Arial" w:hAnsi="Arial" w:cs="Arial"/>
        </w:rPr>
        <w:t>h a foreign or domestic partnership or other flow-through entity is attributed to its owners. Accordingly, if a partnership or other flow-through entity holds ADSs, the tax treatment of the holder will generally depend on the status of the partner or other</w:t>
      </w:r>
      <w:r>
        <w:rPr>
          <w:rFonts w:ascii="Arial" w:hAnsi="Arial" w:cs="Arial"/>
        </w:rPr>
        <w:t xml:space="preserve"> owner and the activities of the partnership or other flow-through entity. </w:t>
      </w:r>
    </w:p>
    <w:p w:rsidR="00000000" w:rsidRDefault="003E5AFF">
      <w:pPr>
        <w:pStyle w:val="NormalWeb"/>
        <w:spacing w:before="240" w:beforeAutospacing="0" w:after="0" w:afterAutospacing="0"/>
      </w:pPr>
      <w:r>
        <w:rPr>
          <w:rFonts w:ascii="Arial" w:hAnsi="Arial" w:cs="Arial"/>
          <w:i/>
          <w:iCs/>
        </w:rPr>
        <w:t xml:space="preserve">U.S. Holders </w:t>
      </w:r>
    </w:p>
    <w:p w:rsidR="00000000" w:rsidRDefault="003E5AFF">
      <w:pPr>
        <w:pStyle w:val="NormalWeb"/>
        <w:spacing w:before="120" w:beforeAutospacing="0" w:after="0" w:afterAutospacing="0"/>
      </w:pPr>
      <w:r>
        <w:rPr>
          <w:rFonts w:ascii="Arial" w:hAnsi="Arial" w:cs="Arial"/>
          <w:i/>
          <w:iCs/>
        </w:rPr>
        <w:t>ADSs</w:t>
      </w:r>
      <w:r>
        <w:rPr>
          <w:rFonts w:ascii="Arial" w:hAnsi="Arial" w:cs="Arial"/>
        </w:rPr>
        <w:t xml:space="preserve">.    If you hold ADSs, for U.S. federal income tax purposes, you generally will be treated as the owner of the </w:t>
      </w:r>
      <w:r>
        <w:rPr>
          <w:rFonts w:ascii="Arial" w:hAnsi="Arial" w:cs="Arial"/>
        </w:rPr>
        <w:t xml:space="preserve">underlying shares that are represented by such ADSs. Accordingly, deposits or withdrawals of shares for ADSs will not be subject to U.S. federal income tax. </w:t>
      </w:r>
    </w:p>
    <w:p w:rsidR="00000000" w:rsidRDefault="003E5AFF">
      <w:pPr>
        <w:pStyle w:val="NormalWeb"/>
        <w:spacing w:before="120" w:beforeAutospacing="0" w:after="0" w:afterAutospacing="0"/>
      </w:pPr>
      <w:r>
        <w:rPr>
          <w:rFonts w:ascii="Arial" w:hAnsi="Arial" w:cs="Arial"/>
          <w:i/>
          <w:iCs/>
        </w:rPr>
        <w:t>Distributions on our ADSs</w:t>
      </w:r>
      <w:r>
        <w:rPr>
          <w:rFonts w:ascii="Arial" w:hAnsi="Arial" w:cs="Arial"/>
        </w:rPr>
        <w:t>.    Cash distributions (including amounts withheld to pay Chilean withho</w:t>
      </w:r>
      <w:r>
        <w:rPr>
          <w:rFonts w:ascii="Arial" w:hAnsi="Arial" w:cs="Arial"/>
        </w:rPr>
        <w:t>lding taxes) made by us to or for the account of a U.S. Holder with respect to ADSs generally will be taxable to such U.S. Holder as ordinary dividend income when such distribution is paid, actually or constructively, out of our current or accumulated earn</w:t>
      </w:r>
      <w:r>
        <w:rPr>
          <w:rFonts w:ascii="Arial" w:hAnsi="Arial" w:cs="Arial"/>
        </w:rPr>
        <w:t xml:space="preserve">ings and profits (as </w:t>
      </w:r>
    </w:p>
    <w:p w:rsidR="00000000" w:rsidRDefault="003E5AFF">
      <w:pPr>
        <w:pStyle w:val="NormalWeb"/>
        <w:spacing w:before="0" w:beforeAutospacing="0" w:after="0" w:afterAutospacing="0"/>
      </w:pPr>
      <w:r>
        <w:rPr>
          <w:sz w:val="15"/>
          <w:szCs w:val="15"/>
        </w:rPr>
        <w:t> </w:t>
      </w:r>
    </w:p>
    <w:p w:rsidR="00000000" w:rsidRDefault="003E5AFF">
      <w:pPr>
        <w:pStyle w:val="NormalWeb"/>
        <w:spacing w:before="0" w:beforeAutospacing="0" w:after="0" w:afterAutospacing="0"/>
        <w:jc w:val="center"/>
      </w:pPr>
      <w:r>
        <w:rPr>
          <w:rFonts w:ascii="Arial" w:hAnsi="Arial" w:cs="Arial"/>
        </w:rPr>
        <w:t xml:space="preserve">- 265 - </w:t>
      </w:r>
    </w:p>
    <w:p w:rsidR="00000000" w:rsidRDefault="003E5AFF">
      <w:pPr>
        <w:rPr>
          <w:rFonts w:eastAsia="Times New Roman" w:cs="Times New Roman"/>
        </w:rPr>
      </w:pPr>
      <w:r>
        <w:rPr>
          <w:rFonts w:eastAsia="Times New Roman" w:cs="Times New Roman"/>
        </w:rPr>
        <w:pict>
          <v:rect id="_x0000_i1302" style="width:441.9pt;height:3pt" o:hralign="center" o:hrstd="t" o:hrnoshade="t" o:hr="t" fillcolor="#999" stroked="f"/>
        </w:pict>
      </w:r>
    </w:p>
    <w:p w:rsidR="00000000" w:rsidRDefault="003E5AFF">
      <w:pPr>
        <w:pStyle w:val="Heading5"/>
        <w:rPr>
          <w:rFonts w:eastAsia="Times New Roman" w:cs="Times New Roman"/>
        </w:rPr>
      </w:pPr>
      <w:hyperlink r:id="rId319" w:anchor="toc" w:history="1">
        <w:r>
          <w:rPr>
            <w:rStyle w:val="Hyperlink"/>
            <w:rFonts w:eastAsia="Times New Roman" w:cs="Times New Roman"/>
          </w:rPr>
          <w:t>Table of Contents</w:t>
        </w:r>
      </w:hyperlink>
    </w:p>
    <w:p w:rsidR="00000000" w:rsidRDefault="003E5AFF">
      <w:pPr>
        <w:pStyle w:val="NormalWeb"/>
        <w:spacing w:before="0" w:beforeAutospacing="0" w:after="0" w:afterAutospacing="0"/>
      </w:pPr>
      <w:r>
        <w:rPr>
          <w:rFonts w:ascii="Arial" w:hAnsi="Arial" w:cs="Arial"/>
        </w:rPr>
        <w:t>determined for U.S. federal income tax purposes). Distributions in excess of our current or accumulated earnings and profits will be treated first as a non-taxable return of capital reducing such U.S. Holder_s a</w:t>
      </w:r>
      <w:r>
        <w:rPr>
          <w:rFonts w:ascii="Arial" w:hAnsi="Arial" w:cs="Arial"/>
        </w:rPr>
        <w:t>djusted tax basis in the ADSs. Any distribution in excess of such U.S. Holder_s adjusted tax basis will be treated as capital gain and will be long-term capital gain if the U.S. Holder held the ADSs for more than one year. Because we do not expect to maint</w:t>
      </w:r>
      <w:r>
        <w:rPr>
          <w:rFonts w:ascii="Arial" w:hAnsi="Arial" w:cs="Arial"/>
        </w:rPr>
        <w:t>ain calculations of our earnings and profits in accordance with U.S. federal income tax principles, U.S. Holders should expect that a distribution will generally be treated as a dividend for U.S. federal income tax purposes. As used below, the term _divide</w:t>
      </w:r>
      <w:r>
        <w:rPr>
          <w:rFonts w:ascii="Arial" w:hAnsi="Arial" w:cs="Arial"/>
        </w:rPr>
        <w:t xml:space="preserve">nd_ means a distribution that constitutes a dividend for U.S. federal income tax purposes. </w:t>
      </w:r>
    </w:p>
    <w:p w:rsidR="00000000" w:rsidRDefault="003E5AFF">
      <w:pPr>
        <w:pStyle w:val="NormalWeb"/>
        <w:spacing w:before="120" w:beforeAutospacing="0" w:after="0" w:afterAutospacing="0"/>
      </w:pPr>
      <w:r>
        <w:rPr>
          <w:rFonts w:ascii="Arial" w:hAnsi="Arial" w:cs="Arial"/>
        </w:rPr>
        <w:t xml:space="preserve">A U.S. Holder will be entitled, subject to a number of complex limitations and conditions (including a minimum holding period requirement), to claim a U.S. foreign </w:t>
      </w:r>
      <w:r>
        <w:rPr>
          <w:rFonts w:ascii="Arial" w:hAnsi="Arial" w:cs="Arial"/>
        </w:rPr>
        <w:t xml:space="preserve">tax credit in respect of any Chilean withholding taxes imposed on dividends received on our ADSs. U.S. Holders who do not elect to claim a foreign tax credit with regard to any foreign income taxes paid or accrued during the taxable year may instead claim </w:t>
      </w:r>
      <w:r>
        <w:rPr>
          <w:rFonts w:ascii="Arial" w:hAnsi="Arial" w:cs="Arial"/>
        </w:rPr>
        <w:t>a deduction in respect of such withholding taxes. Dividends received with respect to the ADSs will be treated as foreign source income, which may be relevant in calculating such U.S. Holder_s U.S. foreign tax credit limitation. For purposes of the U.S. for</w:t>
      </w:r>
      <w:r>
        <w:rPr>
          <w:rFonts w:ascii="Arial" w:hAnsi="Arial" w:cs="Arial"/>
        </w:rPr>
        <w:t>eign tax credit limitation, foreign source income is separated into different _baskets,_ and the credit for foreign taxes on income in any basket is limited to the U.S. federal income tax allocable to such income. Dividends paid with respect to ADSs should</w:t>
      </w:r>
      <w:r>
        <w:rPr>
          <w:rFonts w:ascii="Arial" w:hAnsi="Arial" w:cs="Arial"/>
        </w:rPr>
        <w:t xml:space="preserve"> generally constitute _passive category income_ for most U.S. Holders. Holders are urged to consult their tax advisors regarding the availability of the foreign tax credit in their particular circumstances. </w:t>
      </w:r>
    </w:p>
    <w:p w:rsidR="00000000" w:rsidRDefault="003E5AFF">
      <w:pPr>
        <w:pStyle w:val="NormalWeb"/>
        <w:spacing w:before="120" w:beforeAutospacing="0" w:after="0" w:afterAutospacing="0"/>
      </w:pPr>
      <w:r>
        <w:rPr>
          <w:rFonts w:ascii="Arial" w:hAnsi="Arial" w:cs="Arial"/>
        </w:rPr>
        <w:t>The U.S. Treasury has expressed concerns that in</w:t>
      </w:r>
      <w:r>
        <w:rPr>
          <w:rFonts w:ascii="Arial" w:hAnsi="Arial" w:cs="Arial"/>
        </w:rPr>
        <w:t xml:space="preserve">termediaries in the chain of ownership between the holder of an ADS and the issuer of the security underlying the ADS may be taking actions that are inconsistent with the claiming of foreign tax credits for U.S. holders of ADSs. Such actions would also be </w:t>
      </w:r>
      <w:r>
        <w:rPr>
          <w:rFonts w:ascii="Arial" w:hAnsi="Arial" w:cs="Arial"/>
        </w:rPr>
        <w:t xml:space="preserve">inconsistent with the claiming of the reduced rate of tax, described below, applicable to dividends received by certain non-corporate holders. Accordingly, the analysis of the creditability of foreign taxes and the availability of the reduced tax rate for </w:t>
      </w:r>
      <w:r>
        <w:rPr>
          <w:rFonts w:ascii="Arial" w:hAnsi="Arial" w:cs="Arial"/>
        </w:rPr>
        <w:t xml:space="preserve">dividends received by certain non-corporate holders, each described below, could be affected by actions taken by intermediaries in the chain of ownership between the holder of an ADS and our Company. </w:t>
      </w:r>
    </w:p>
    <w:p w:rsidR="00000000" w:rsidRDefault="003E5AFF">
      <w:pPr>
        <w:pStyle w:val="NormalWeb"/>
        <w:spacing w:before="120" w:beforeAutospacing="0" w:after="0" w:afterAutospacing="0"/>
      </w:pPr>
      <w:r>
        <w:rPr>
          <w:rFonts w:ascii="Arial" w:hAnsi="Arial" w:cs="Arial"/>
        </w:rPr>
        <w:t>Dividends paid by us generally will not be eligible for</w:t>
      </w:r>
      <w:r>
        <w:rPr>
          <w:rFonts w:ascii="Arial" w:hAnsi="Arial" w:cs="Arial"/>
        </w:rPr>
        <w:t xml:space="preserve"> the dividends received deduction available under the Code to certain U.S. corporate shareholders. Subject to the above-mentioned concerns by the U.S. Treasury and certain exceptions for short-term and hedged positions, the U.S. dollar amount of dividends </w:t>
      </w:r>
      <w:r>
        <w:rPr>
          <w:rFonts w:ascii="Arial" w:hAnsi="Arial" w:cs="Arial"/>
        </w:rPr>
        <w:t>received by certain U.S. Holders (including individuals) prior to January 1, 2013 with respect to the ADSs will be subject to taxation at a maximum rate of 15% if the dividends represent _qualified dividend income._ Dividends paid on the ADSs will be treat</w:t>
      </w:r>
      <w:r>
        <w:rPr>
          <w:rFonts w:ascii="Arial" w:hAnsi="Arial" w:cs="Arial"/>
        </w:rPr>
        <w:t>ed as qualified dividend income if (i) the ADSs are readily tradable on an established securities market in the United States and (ii) we were not in the year prior to the year in whic</w:t>
      </w:r>
    </w:p>
    <w:sectPr w:rsidR="00000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695991"/>
    <w:rsid w:val="001071E8"/>
    <w:rsid w:val="003E5AFF"/>
    <w:rsid w:val="006959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5">
    <w:name w:val="heading 5"/>
    <w:basedOn w:val="Normal"/>
    <w:link w:val="Heading5Char"/>
    <w:uiPriority w:val="9"/>
    <w:qFormat/>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729">
      <w:marLeft w:val="0"/>
      <w:marRight w:val="0"/>
      <w:marTop w:val="0"/>
      <w:marBottom w:val="0"/>
      <w:divBdr>
        <w:top w:val="single" w:sz="8" w:space="0" w:color="000000"/>
        <w:left w:val="single" w:sz="8" w:space="0" w:color="000000"/>
        <w:bottom w:val="single" w:sz="8" w:space="0" w:color="000000"/>
        <w:right w:val="single" w:sz="8" w:space="0" w:color="000000"/>
      </w:divBdr>
      <w:divsChild>
        <w:div w:id="971903010">
          <w:marLeft w:val="1"/>
          <w:marRight w:val="-1"/>
          <w:marTop w:val="1"/>
          <w:marBottom w:val="0"/>
          <w:divBdr>
            <w:top w:val="none" w:sz="0" w:space="0" w:color="auto"/>
            <w:left w:val="none" w:sz="0" w:space="0" w:color="auto"/>
            <w:bottom w:val="none" w:sz="0" w:space="0" w:color="auto"/>
            <w:right w:val="none" w:sz="0" w:space="0" w:color="auto"/>
          </w:divBdr>
        </w:div>
      </w:divsChild>
    </w:div>
    <w:div w:id="65150546">
      <w:marLeft w:val="0"/>
      <w:marRight w:val="0"/>
      <w:marTop w:val="0"/>
      <w:marBottom w:val="0"/>
      <w:divBdr>
        <w:top w:val="single" w:sz="8" w:space="0" w:color="000000"/>
        <w:left w:val="single" w:sz="8" w:space="0" w:color="000000"/>
        <w:bottom w:val="single" w:sz="8" w:space="0" w:color="000000"/>
        <w:right w:val="single" w:sz="8" w:space="0" w:color="000000"/>
      </w:divBdr>
      <w:divsChild>
        <w:div w:id="260527807">
          <w:marLeft w:val="1"/>
          <w:marRight w:val="-1"/>
          <w:marTop w:val="1"/>
          <w:marBottom w:val="0"/>
          <w:divBdr>
            <w:top w:val="none" w:sz="0" w:space="0" w:color="auto"/>
            <w:left w:val="none" w:sz="0" w:space="0" w:color="auto"/>
            <w:bottom w:val="none" w:sz="0" w:space="0" w:color="auto"/>
            <w:right w:val="none" w:sz="0" w:space="0" w:color="auto"/>
          </w:divBdr>
        </w:div>
      </w:divsChild>
    </w:div>
    <w:div w:id="83689909">
      <w:marLeft w:val="0"/>
      <w:marRight w:val="0"/>
      <w:marTop w:val="0"/>
      <w:marBottom w:val="0"/>
      <w:divBdr>
        <w:top w:val="single" w:sz="8" w:space="0" w:color="000000"/>
        <w:left w:val="single" w:sz="8" w:space="0" w:color="000000"/>
        <w:bottom w:val="single" w:sz="8" w:space="0" w:color="000000"/>
        <w:right w:val="single" w:sz="8" w:space="0" w:color="000000"/>
      </w:divBdr>
      <w:divsChild>
        <w:div w:id="1601837291">
          <w:marLeft w:val="1"/>
          <w:marRight w:val="-1"/>
          <w:marTop w:val="1"/>
          <w:marBottom w:val="0"/>
          <w:divBdr>
            <w:top w:val="none" w:sz="0" w:space="0" w:color="auto"/>
            <w:left w:val="none" w:sz="0" w:space="0" w:color="auto"/>
            <w:bottom w:val="none" w:sz="0" w:space="0" w:color="auto"/>
            <w:right w:val="none" w:sz="0" w:space="0" w:color="auto"/>
          </w:divBdr>
        </w:div>
      </w:divsChild>
    </w:div>
    <w:div w:id="121536340">
      <w:marLeft w:val="0"/>
      <w:marRight w:val="0"/>
      <w:marTop w:val="0"/>
      <w:marBottom w:val="0"/>
      <w:divBdr>
        <w:top w:val="single" w:sz="8" w:space="0" w:color="000000"/>
        <w:left w:val="single" w:sz="8" w:space="0" w:color="000000"/>
        <w:bottom w:val="single" w:sz="8" w:space="0" w:color="000000"/>
        <w:right w:val="single" w:sz="8" w:space="0" w:color="000000"/>
      </w:divBdr>
      <w:divsChild>
        <w:div w:id="829297218">
          <w:marLeft w:val="1"/>
          <w:marRight w:val="-1"/>
          <w:marTop w:val="1"/>
          <w:marBottom w:val="0"/>
          <w:divBdr>
            <w:top w:val="none" w:sz="0" w:space="0" w:color="auto"/>
            <w:left w:val="none" w:sz="0" w:space="0" w:color="auto"/>
            <w:bottom w:val="none" w:sz="0" w:space="0" w:color="auto"/>
            <w:right w:val="none" w:sz="0" w:space="0" w:color="auto"/>
          </w:divBdr>
        </w:div>
      </w:divsChild>
    </w:div>
    <w:div w:id="179974726">
      <w:marLeft w:val="0"/>
      <w:marRight w:val="0"/>
      <w:marTop w:val="0"/>
      <w:marBottom w:val="0"/>
      <w:divBdr>
        <w:top w:val="single" w:sz="8" w:space="0" w:color="000000"/>
        <w:left w:val="single" w:sz="8" w:space="0" w:color="000000"/>
        <w:bottom w:val="single" w:sz="8" w:space="0" w:color="000000"/>
        <w:right w:val="single" w:sz="8" w:space="0" w:color="000000"/>
      </w:divBdr>
      <w:divsChild>
        <w:div w:id="130640076">
          <w:marLeft w:val="1"/>
          <w:marRight w:val="-1"/>
          <w:marTop w:val="1"/>
          <w:marBottom w:val="0"/>
          <w:divBdr>
            <w:top w:val="none" w:sz="0" w:space="0" w:color="auto"/>
            <w:left w:val="none" w:sz="0" w:space="0" w:color="auto"/>
            <w:bottom w:val="none" w:sz="0" w:space="0" w:color="auto"/>
            <w:right w:val="none" w:sz="0" w:space="0" w:color="auto"/>
          </w:divBdr>
        </w:div>
      </w:divsChild>
    </w:div>
    <w:div w:id="196355365">
      <w:marLeft w:val="0"/>
      <w:marRight w:val="0"/>
      <w:marTop w:val="0"/>
      <w:marBottom w:val="0"/>
      <w:divBdr>
        <w:top w:val="none" w:sz="0" w:space="0" w:color="auto"/>
        <w:left w:val="none" w:sz="0" w:space="0" w:color="auto"/>
        <w:bottom w:val="none" w:sz="0" w:space="0" w:color="auto"/>
        <w:right w:val="none" w:sz="0" w:space="0" w:color="auto"/>
      </w:divBdr>
    </w:div>
    <w:div w:id="568807959">
      <w:marLeft w:val="0"/>
      <w:marRight w:val="0"/>
      <w:marTop w:val="0"/>
      <w:marBottom w:val="0"/>
      <w:divBdr>
        <w:top w:val="single" w:sz="8" w:space="0" w:color="000000"/>
        <w:left w:val="single" w:sz="8" w:space="0" w:color="000000"/>
        <w:bottom w:val="single" w:sz="8" w:space="0" w:color="000000"/>
        <w:right w:val="single" w:sz="8" w:space="0" w:color="000000"/>
      </w:divBdr>
      <w:divsChild>
        <w:div w:id="1403455156">
          <w:marLeft w:val="1"/>
          <w:marRight w:val="-1"/>
          <w:marTop w:val="1"/>
          <w:marBottom w:val="0"/>
          <w:divBdr>
            <w:top w:val="none" w:sz="0" w:space="0" w:color="auto"/>
            <w:left w:val="none" w:sz="0" w:space="0" w:color="auto"/>
            <w:bottom w:val="none" w:sz="0" w:space="0" w:color="auto"/>
            <w:right w:val="none" w:sz="0" w:space="0" w:color="auto"/>
          </w:divBdr>
        </w:div>
      </w:divsChild>
    </w:div>
    <w:div w:id="784540812">
      <w:marLeft w:val="0"/>
      <w:marRight w:val="0"/>
      <w:marTop w:val="0"/>
      <w:marBottom w:val="0"/>
      <w:divBdr>
        <w:top w:val="single" w:sz="8" w:space="0" w:color="000000"/>
        <w:left w:val="single" w:sz="8" w:space="0" w:color="000000"/>
        <w:bottom w:val="single" w:sz="8" w:space="0" w:color="000000"/>
        <w:right w:val="single" w:sz="8" w:space="0" w:color="000000"/>
      </w:divBdr>
      <w:divsChild>
        <w:div w:id="819424245">
          <w:marLeft w:val="1"/>
          <w:marRight w:val="-1"/>
          <w:marTop w:val="1"/>
          <w:marBottom w:val="0"/>
          <w:divBdr>
            <w:top w:val="none" w:sz="0" w:space="0" w:color="auto"/>
            <w:left w:val="none" w:sz="0" w:space="0" w:color="auto"/>
            <w:bottom w:val="none" w:sz="0" w:space="0" w:color="auto"/>
            <w:right w:val="none" w:sz="0" w:space="0" w:color="auto"/>
          </w:divBdr>
        </w:div>
      </w:divsChild>
    </w:div>
    <w:div w:id="804468555">
      <w:marLeft w:val="0"/>
      <w:marRight w:val="0"/>
      <w:marTop w:val="0"/>
      <w:marBottom w:val="0"/>
      <w:divBdr>
        <w:top w:val="single" w:sz="8" w:space="0" w:color="000000"/>
        <w:left w:val="single" w:sz="8" w:space="0" w:color="000000"/>
        <w:bottom w:val="single" w:sz="8" w:space="0" w:color="000000"/>
        <w:right w:val="single" w:sz="8" w:space="0" w:color="000000"/>
      </w:divBdr>
      <w:divsChild>
        <w:div w:id="1394699246">
          <w:marLeft w:val="1"/>
          <w:marRight w:val="-1"/>
          <w:marTop w:val="1"/>
          <w:marBottom w:val="0"/>
          <w:divBdr>
            <w:top w:val="none" w:sz="0" w:space="0" w:color="auto"/>
            <w:left w:val="none" w:sz="0" w:space="0" w:color="auto"/>
            <w:bottom w:val="none" w:sz="0" w:space="0" w:color="auto"/>
            <w:right w:val="none" w:sz="0" w:space="0" w:color="auto"/>
          </w:divBdr>
        </w:div>
      </w:divsChild>
    </w:div>
    <w:div w:id="841042580">
      <w:marLeft w:val="0"/>
      <w:marRight w:val="0"/>
      <w:marTop w:val="0"/>
      <w:marBottom w:val="0"/>
      <w:divBdr>
        <w:top w:val="single" w:sz="8" w:space="0" w:color="000000"/>
        <w:left w:val="single" w:sz="8" w:space="0" w:color="000000"/>
        <w:bottom w:val="single" w:sz="8" w:space="0" w:color="000000"/>
        <w:right w:val="single" w:sz="8" w:space="0" w:color="000000"/>
      </w:divBdr>
      <w:divsChild>
        <w:div w:id="1852253775">
          <w:marLeft w:val="1"/>
          <w:marRight w:val="-1"/>
          <w:marTop w:val="1"/>
          <w:marBottom w:val="0"/>
          <w:divBdr>
            <w:top w:val="none" w:sz="0" w:space="0" w:color="auto"/>
            <w:left w:val="none" w:sz="0" w:space="0" w:color="auto"/>
            <w:bottom w:val="none" w:sz="0" w:space="0" w:color="auto"/>
            <w:right w:val="none" w:sz="0" w:space="0" w:color="auto"/>
          </w:divBdr>
        </w:div>
      </w:divsChild>
    </w:div>
    <w:div w:id="844368707">
      <w:marLeft w:val="0"/>
      <w:marRight w:val="0"/>
      <w:marTop w:val="0"/>
      <w:marBottom w:val="0"/>
      <w:divBdr>
        <w:top w:val="single" w:sz="8" w:space="0" w:color="000000"/>
        <w:left w:val="single" w:sz="8" w:space="0" w:color="000000"/>
        <w:bottom w:val="single" w:sz="8" w:space="0" w:color="000000"/>
        <w:right w:val="single" w:sz="8" w:space="0" w:color="000000"/>
      </w:divBdr>
      <w:divsChild>
        <w:div w:id="90902223">
          <w:marLeft w:val="1"/>
          <w:marRight w:val="-1"/>
          <w:marTop w:val="1"/>
          <w:marBottom w:val="0"/>
          <w:divBdr>
            <w:top w:val="none" w:sz="0" w:space="0" w:color="auto"/>
            <w:left w:val="none" w:sz="0" w:space="0" w:color="auto"/>
            <w:bottom w:val="none" w:sz="0" w:space="0" w:color="auto"/>
            <w:right w:val="none" w:sz="0" w:space="0" w:color="auto"/>
          </w:divBdr>
        </w:div>
      </w:divsChild>
    </w:div>
    <w:div w:id="901673022">
      <w:marLeft w:val="0"/>
      <w:marRight w:val="1"/>
      <w:marTop w:val="0"/>
      <w:marBottom w:val="0"/>
      <w:divBdr>
        <w:top w:val="none" w:sz="0" w:space="0" w:color="auto"/>
        <w:left w:val="none" w:sz="0" w:space="0" w:color="auto"/>
        <w:bottom w:val="none" w:sz="0" w:space="0" w:color="auto"/>
        <w:right w:val="none" w:sz="0" w:space="0" w:color="auto"/>
      </w:divBdr>
    </w:div>
    <w:div w:id="989870391">
      <w:marLeft w:val="0"/>
      <w:marRight w:val="0"/>
      <w:marTop w:val="0"/>
      <w:marBottom w:val="0"/>
      <w:divBdr>
        <w:top w:val="single" w:sz="8" w:space="0" w:color="000000"/>
        <w:left w:val="single" w:sz="8" w:space="0" w:color="000000"/>
        <w:bottom w:val="single" w:sz="8" w:space="0" w:color="000000"/>
        <w:right w:val="single" w:sz="8" w:space="0" w:color="000000"/>
      </w:divBdr>
      <w:divsChild>
        <w:div w:id="960455562">
          <w:marLeft w:val="1"/>
          <w:marRight w:val="-1"/>
          <w:marTop w:val="1"/>
          <w:marBottom w:val="0"/>
          <w:divBdr>
            <w:top w:val="none" w:sz="0" w:space="0" w:color="auto"/>
            <w:left w:val="none" w:sz="0" w:space="0" w:color="auto"/>
            <w:bottom w:val="none" w:sz="0" w:space="0" w:color="auto"/>
            <w:right w:val="none" w:sz="0" w:space="0" w:color="auto"/>
          </w:divBdr>
        </w:div>
      </w:divsChild>
    </w:div>
    <w:div w:id="1044788558">
      <w:marLeft w:val="0"/>
      <w:marRight w:val="0"/>
      <w:marTop w:val="0"/>
      <w:marBottom w:val="0"/>
      <w:divBdr>
        <w:top w:val="single" w:sz="8" w:space="0" w:color="000000"/>
        <w:left w:val="single" w:sz="8" w:space="0" w:color="000000"/>
        <w:bottom w:val="single" w:sz="8" w:space="0" w:color="000000"/>
        <w:right w:val="single" w:sz="8" w:space="0" w:color="000000"/>
      </w:divBdr>
      <w:divsChild>
        <w:div w:id="899173419">
          <w:marLeft w:val="1"/>
          <w:marRight w:val="-1"/>
          <w:marTop w:val="1"/>
          <w:marBottom w:val="0"/>
          <w:divBdr>
            <w:top w:val="none" w:sz="0" w:space="0" w:color="auto"/>
            <w:left w:val="none" w:sz="0" w:space="0" w:color="auto"/>
            <w:bottom w:val="none" w:sz="0" w:space="0" w:color="auto"/>
            <w:right w:val="none" w:sz="0" w:space="0" w:color="auto"/>
          </w:divBdr>
        </w:div>
      </w:divsChild>
    </w:div>
    <w:div w:id="1235386292">
      <w:marLeft w:val="0"/>
      <w:marRight w:val="0"/>
      <w:marTop w:val="0"/>
      <w:marBottom w:val="0"/>
      <w:divBdr>
        <w:top w:val="single" w:sz="8" w:space="0" w:color="000000"/>
        <w:left w:val="single" w:sz="8" w:space="0" w:color="000000"/>
        <w:bottom w:val="single" w:sz="8" w:space="0" w:color="000000"/>
        <w:right w:val="single" w:sz="8" w:space="0" w:color="000000"/>
      </w:divBdr>
      <w:divsChild>
        <w:div w:id="995572295">
          <w:marLeft w:val="1"/>
          <w:marRight w:val="-1"/>
          <w:marTop w:val="1"/>
          <w:marBottom w:val="0"/>
          <w:divBdr>
            <w:top w:val="none" w:sz="0" w:space="0" w:color="auto"/>
            <w:left w:val="none" w:sz="0" w:space="0" w:color="auto"/>
            <w:bottom w:val="none" w:sz="0" w:space="0" w:color="auto"/>
            <w:right w:val="none" w:sz="0" w:space="0" w:color="auto"/>
          </w:divBdr>
        </w:div>
      </w:divsChild>
    </w:div>
    <w:div w:id="1341926364">
      <w:marLeft w:val="0"/>
      <w:marRight w:val="0"/>
      <w:marTop w:val="0"/>
      <w:marBottom w:val="0"/>
      <w:divBdr>
        <w:top w:val="single" w:sz="8" w:space="0" w:color="000000"/>
        <w:left w:val="single" w:sz="8" w:space="0" w:color="000000"/>
        <w:bottom w:val="single" w:sz="8" w:space="0" w:color="000000"/>
        <w:right w:val="single" w:sz="8" w:space="0" w:color="000000"/>
      </w:divBdr>
      <w:divsChild>
        <w:div w:id="2103380808">
          <w:marLeft w:val="1"/>
          <w:marRight w:val="-1"/>
          <w:marTop w:val="1"/>
          <w:marBottom w:val="0"/>
          <w:divBdr>
            <w:top w:val="none" w:sz="0" w:space="0" w:color="auto"/>
            <w:left w:val="none" w:sz="0" w:space="0" w:color="auto"/>
            <w:bottom w:val="none" w:sz="0" w:space="0" w:color="auto"/>
            <w:right w:val="none" w:sz="0" w:space="0" w:color="auto"/>
          </w:divBdr>
        </w:div>
      </w:divsChild>
    </w:div>
    <w:div w:id="1397170632">
      <w:marLeft w:val="0"/>
      <w:marRight w:val="0"/>
      <w:marTop w:val="0"/>
      <w:marBottom w:val="0"/>
      <w:divBdr>
        <w:top w:val="single" w:sz="8" w:space="0" w:color="000000"/>
        <w:left w:val="single" w:sz="8" w:space="0" w:color="000000"/>
        <w:bottom w:val="single" w:sz="8" w:space="0" w:color="000000"/>
        <w:right w:val="single" w:sz="8" w:space="0" w:color="000000"/>
      </w:divBdr>
      <w:divsChild>
        <w:div w:id="576402067">
          <w:marLeft w:val="1"/>
          <w:marRight w:val="-1"/>
          <w:marTop w:val="1"/>
          <w:marBottom w:val="0"/>
          <w:divBdr>
            <w:top w:val="none" w:sz="0" w:space="0" w:color="auto"/>
            <w:left w:val="none" w:sz="0" w:space="0" w:color="auto"/>
            <w:bottom w:val="none" w:sz="0" w:space="0" w:color="auto"/>
            <w:right w:val="none" w:sz="0" w:space="0" w:color="auto"/>
          </w:divBdr>
        </w:div>
      </w:divsChild>
    </w:div>
    <w:div w:id="1514419282">
      <w:marLeft w:val="0"/>
      <w:marRight w:val="0"/>
      <w:marTop w:val="0"/>
      <w:marBottom w:val="0"/>
      <w:divBdr>
        <w:top w:val="single" w:sz="8" w:space="0" w:color="000000"/>
        <w:left w:val="single" w:sz="8" w:space="0" w:color="000000"/>
        <w:bottom w:val="single" w:sz="8" w:space="0" w:color="000000"/>
        <w:right w:val="single" w:sz="8" w:space="0" w:color="000000"/>
      </w:divBdr>
      <w:divsChild>
        <w:div w:id="1924215954">
          <w:marLeft w:val="1"/>
          <w:marRight w:val="-1"/>
          <w:marTop w:val="1"/>
          <w:marBottom w:val="0"/>
          <w:divBdr>
            <w:top w:val="none" w:sz="0" w:space="0" w:color="auto"/>
            <w:left w:val="none" w:sz="0" w:space="0" w:color="auto"/>
            <w:bottom w:val="none" w:sz="0" w:space="0" w:color="auto"/>
            <w:right w:val="none" w:sz="0" w:space="0" w:color="auto"/>
          </w:divBdr>
        </w:div>
      </w:divsChild>
    </w:div>
    <w:div w:id="1534539888">
      <w:marLeft w:val="0"/>
      <w:marRight w:val="0"/>
      <w:marTop w:val="0"/>
      <w:marBottom w:val="0"/>
      <w:divBdr>
        <w:top w:val="single" w:sz="8" w:space="0" w:color="000000"/>
        <w:left w:val="single" w:sz="8" w:space="0" w:color="000000"/>
        <w:bottom w:val="single" w:sz="8" w:space="0" w:color="000000"/>
        <w:right w:val="single" w:sz="8" w:space="0" w:color="000000"/>
      </w:divBdr>
      <w:divsChild>
        <w:div w:id="1557668895">
          <w:marLeft w:val="1"/>
          <w:marRight w:val="-1"/>
          <w:marTop w:val="1"/>
          <w:marBottom w:val="0"/>
          <w:divBdr>
            <w:top w:val="none" w:sz="0" w:space="0" w:color="auto"/>
            <w:left w:val="none" w:sz="0" w:space="0" w:color="auto"/>
            <w:bottom w:val="none" w:sz="0" w:space="0" w:color="auto"/>
            <w:right w:val="none" w:sz="0" w:space="0" w:color="auto"/>
          </w:divBdr>
        </w:div>
      </w:divsChild>
    </w:div>
    <w:div w:id="1545215469">
      <w:marLeft w:val="0"/>
      <w:marRight w:val="0"/>
      <w:marTop w:val="0"/>
      <w:marBottom w:val="0"/>
      <w:divBdr>
        <w:top w:val="single" w:sz="8" w:space="0" w:color="000000"/>
        <w:left w:val="single" w:sz="8" w:space="0" w:color="000000"/>
        <w:bottom w:val="single" w:sz="8" w:space="0" w:color="000000"/>
        <w:right w:val="single" w:sz="8" w:space="0" w:color="000000"/>
      </w:divBdr>
      <w:divsChild>
        <w:div w:id="2136288358">
          <w:marLeft w:val="1"/>
          <w:marRight w:val="-1"/>
          <w:marTop w:val="1"/>
          <w:marBottom w:val="0"/>
          <w:divBdr>
            <w:top w:val="none" w:sz="0" w:space="0" w:color="auto"/>
            <w:left w:val="none" w:sz="0" w:space="0" w:color="auto"/>
            <w:bottom w:val="none" w:sz="0" w:space="0" w:color="auto"/>
            <w:right w:val="none" w:sz="0" w:space="0" w:color="auto"/>
          </w:divBdr>
        </w:div>
      </w:divsChild>
    </w:div>
    <w:div w:id="1572230224">
      <w:marLeft w:val="0"/>
      <w:marRight w:val="0"/>
      <w:marTop w:val="0"/>
      <w:marBottom w:val="0"/>
      <w:divBdr>
        <w:top w:val="single" w:sz="8" w:space="0" w:color="000000"/>
        <w:left w:val="single" w:sz="8" w:space="0" w:color="000000"/>
        <w:bottom w:val="single" w:sz="8" w:space="0" w:color="000000"/>
        <w:right w:val="single" w:sz="8" w:space="0" w:color="000000"/>
      </w:divBdr>
      <w:divsChild>
        <w:div w:id="1951431461">
          <w:marLeft w:val="1"/>
          <w:marRight w:val="-1"/>
          <w:marTop w:val="1"/>
          <w:marBottom w:val="0"/>
          <w:divBdr>
            <w:top w:val="none" w:sz="0" w:space="0" w:color="auto"/>
            <w:left w:val="none" w:sz="0" w:space="0" w:color="auto"/>
            <w:bottom w:val="none" w:sz="0" w:space="0" w:color="auto"/>
            <w:right w:val="none" w:sz="0" w:space="0" w:color="auto"/>
          </w:divBdr>
        </w:div>
      </w:divsChild>
    </w:div>
    <w:div w:id="1642266860">
      <w:marLeft w:val="0"/>
      <w:marRight w:val="0"/>
      <w:marTop w:val="0"/>
      <w:marBottom w:val="0"/>
      <w:divBdr>
        <w:top w:val="single" w:sz="8" w:space="0" w:color="000000"/>
        <w:left w:val="single" w:sz="8" w:space="0" w:color="000000"/>
        <w:bottom w:val="single" w:sz="8" w:space="0" w:color="000000"/>
        <w:right w:val="single" w:sz="8" w:space="0" w:color="000000"/>
      </w:divBdr>
      <w:divsChild>
        <w:div w:id="1518077034">
          <w:marLeft w:val="1"/>
          <w:marRight w:val="-1"/>
          <w:marTop w:val="1"/>
          <w:marBottom w:val="0"/>
          <w:divBdr>
            <w:top w:val="none" w:sz="0" w:space="0" w:color="auto"/>
            <w:left w:val="none" w:sz="0" w:space="0" w:color="auto"/>
            <w:bottom w:val="none" w:sz="0" w:space="0" w:color="auto"/>
            <w:right w:val="none" w:sz="0" w:space="0" w:color="auto"/>
          </w:divBdr>
        </w:div>
      </w:divsChild>
    </w:div>
    <w:div w:id="1671979957">
      <w:marLeft w:val="0"/>
      <w:marRight w:val="0"/>
      <w:marTop w:val="0"/>
      <w:marBottom w:val="0"/>
      <w:divBdr>
        <w:top w:val="single" w:sz="8" w:space="0" w:color="000000"/>
        <w:left w:val="single" w:sz="8" w:space="0" w:color="000000"/>
        <w:bottom w:val="single" w:sz="8" w:space="0" w:color="000000"/>
        <w:right w:val="single" w:sz="8" w:space="0" w:color="000000"/>
      </w:divBdr>
      <w:divsChild>
        <w:div w:id="169417002">
          <w:marLeft w:val="1"/>
          <w:marRight w:val="-1"/>
          <w:marTop w:val="1"/>
          <w:marBottom w:val="0"/>
          <w:divBdr>
            <w:top w:val="none" w:sz="0" w:space="0" w:color="auto"/>
            <w:left w:val="none" w:sz="0" w:space="0" w:color="auto"/>
            <w:bottom w:val="none" w:sz="0" w:space="0" w:color="auto"/>
            <w:right w:val="none" w:sz="0" w:space="0" w:color="auto"/>
          </w:divBdr>
        </w:div>
      </w:divsChild>
    </w:div>
    <w:div w:id="1780100624">
      <w:marLeft w:val="0"/>
      <w:marRight w:val="0"/>
      <w:marTop w:val="0"/>
      <w:marBottom w:val="0"/>
      <w:divBdr>
        <w:top w:val="single" w:sz="8" w:space="0" w:color="000000"/>
        <w:left w:val="single" w:sz="8" w:space="0" w:color="000000"/>
        <w:bottom w:val="single" w:sz="8" w:space="0" w:color="000000"/>
        <w:right w:val="single" w:sz="8" w:space="0" w:color="000000"/>
      </w:divBdr>
      <w:divsChild>
        <w:div w:id="650982196">
          <w:marLeft w:val="1"/>
          <w:marRight w:val="-1"/>
          <w:marTop w:val="1"/>
          <w:marBottom w:val="0"/>
          <w:divBdr>
            <w:top w:val="none" w:sz="0" w:space="0" w:color="auto"/>
            <w:left w:val="none" w:sz="0" w:space="0" w:color="auto"/>
            <w:bottom w:val="none" w:sz="0" w:space="0" w:color="auto"/>
            <w:right w:val="none" w:sz="0" w:space="0" w:color="auto"/>
          </w:divBdr>
        </w:div>
      </w:divsChild>
    </w:div>
    <w:div w:id="1874229030">
      <w:marLeft w:val="0"/>
      <w:marRight w:val="0"/>
      <w:marTop w:val="0"/>
      <w:marBottom w:val="0"/>
      <w:divBdr>
        <w:top w:val="single" w:sz="8" w:space="0" w:color="000000"/>
        <w:left w:val="single" w:sz="8" w:space="0" w:color="000000"/>
        <w:bottom w:val="single" w:sz="8" w:space="0" w:color="000000"/>
        <w:right w:val="single" w:sz="8" w:space="0" w:color="000000"/>
      </w:divBdr>
      <w:divsChild>
        <w:div w:id="1242134286">
          <w:marLeft w:val="1"/>
          <w:marRight w:val="-1"/>
          <w:marTop w:val="1"/>
          <w:marBottom w:val="0"/>
          <w:divBdr>
            <w:top w:val="none" w:sz="0" w:space="0" w:color="auto"/>
            <w:left w:val="none" w:sz="0" w:space="0" w:color="auto"/>
            <w:bottom w:val="none" w:sz="0" w:space="0" w:color="auto"/>
            <w:right w:val="none" w:sz="0" w:space="0" w:color="auto"/>
          </w:divBdr>
        </w:div>
      </w:divsChild>
    </w:div>
    <w:div w:id="1996107675">
      <w:marLeft w:val="0"/>
      <w:marRight w:val="0"/>
      <w:marTop w:val="0"/>
      <w:marBottom w:val="0"/>
      <w:divBdr>
        <w:top w:val="single" w:sz="8" w:space="0" w:color="000000"/>
        <w:left w:val="single" w:sz="8" w:space="0" w:color="000000"/>
        <w:bottom w:val="single" w:sz="8" w:space="0" w:color="000000"/>
        <w:right w:val="single" w:sz="8" w:space="0" w:color="000000"/>
      </w:divBdr>
      <w:divsChild>
        <w:div w:id="300692260">
          <w:marLeft w:val="1"/>
          <w:marRight w:val="-1"/>
          <w:marTop w:val="1"/>
          <w:marBottom w:val="0"/>
          <w:divBdr>
            <w:top w:val="none" w:sz="0" w:space="0" w:color="auto"/>
            <w:left w:val="none" w:sz="0" w:space="0" w:color="auto"/>
            <w:bottom w:val="none" w:sz="0" w:space="0" w:color="auto"/>
            <w:right w:val="none" w:sz="0" w:space="0" w:color="auto"/>
          </w:divBdr>
        </w:div>
      </w:divsChild>
    </w:div>
    <w:div w:id="2014644055">
      <w:marLeft w:val="0"/>
      <w:marRight w:val="0"/>
      <w:marTop w:val="0"/>
      <w:marBottom w:val="0"/>
      <w:divBdr>
        <w:top w:val="single" w:sz="8" w:space="0" w:color="000000"/>
        <w:left w:val="single" w:sz="8" w:space="0" w:color="000000"/>
        <w:bottom w:val="single" w:sz="8" w:space="0" w:color="000000"/>
        <w:right w:val="single" w:sz="8" w:space="0" w:color="000000"/>
      </w:divBdr>
      <w:divsChild>
        <w:div w:id="389620948">
          <w:marLeft w:val="1"/>
          <w:marRight w:val="-1"/>
          <w:marTop w:val="1"/>
          <w:marBottom w:val="0"/>
          <w:divBdr>
            <w:top w:val="none" w:sz="0" w:space="0" w:color="auto"/>
            <w:left w:val="none" w:sz="0" w:space="0" w:color="auto"/>
            <w:bottom w:val="none" w:sz="0" w:space="0" w:color="auto"/>
            <w:right w:val="none" w:sz="0" w:space="0" w:color="auto"/>
          </w:divBdr>
        </w:div>
      </w:divsChild>
    </w:div>
    <w:div w:id="2027752634">
      <w:marLeft w:val="0"/>
      <w:marRight w:val="0"/>
      <w:marTop w:val="0"/>
      <w:marBottom w:val="0"/>
      <w:divBdr>
        <w:top w:val="single" w:sz="8" w:space="0" w:color="000000"/>
        <w:left w:val="single" w:sz="8" w:space="0" w:color="000000"/>
        <w:bottom w:val="single" w:sz="8" w:space="0" w:color="000000"/>
        <w:right w:val="single" w:sz="8" w:space="0" w:color="000000"/>
      </w:divBdr>
      <w:divsChild>
        <w:div w:id="1699889079">
          <w:marLeft w:val="1"/>
          <w:marRight w:val="-1"/>
          <w:marTop w:val="1"/>
          <w:marBottom w:val="0"/>
          <w:divBdr>
            <w:top w:val="none" w:sz="0" w:space="0" w:color="auto"/>
            <w:left w:val="none" w:sz="0" w:space="0" w:color="auto"/>
            <w:bottom w:val="none" w:sz="0" w:space="0"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sec.gov/Archives/edgar/data/1544856/000119312512264153/d343004df1a.htm" TargetMode="External"/><Relationship Id="rId107" Type="http://schemas.openxmlformats.org/officeDocument/2006/relationships/hyperlink" Target="http://www.sec.gov/Archives/edgar/data/1544856/000119312512264153/d343004df1a.htm" TargetMode="External"/><Relationship Id="rId108" Type="http://schemas.openxmlformats.org/officeDocument/2006/relationships/hyperlink" Target="http://www.sec.gov/Archives/edgar/data/1544856/000119312512264153/d343004df1a.htm" TargetMode="External"/><Relationship Id="rId109" Type="http://schemas.openxmlformats.org/officeDocument/2006/relationships/hyperlink" Target="http://www.sec.gov/Archives/edgar/data/1544856/000119312512264153/d343004df1a.htm" TargetMode="External"/><Relationship Id="rId70" Type="http://schemas.openxmlformats.org/officeDocument/2006/relationships/hyperlink" Target="http://www.sec.gov/Archives/edgar/data/1544856/000119312512264153/d343004df1a.htm" TargetMode="External"/><Relationship Id="rId71" Type="http://schemas.openxmlformats.org/officeDocument/2006/relationships/hyperlink" Target="http://www.sec.gov/Archives/edgar/data/1544856/000119312512264153/d343004df1a.htm" TargetMode="External"/><Relationship Id="rId72" Type="http://schemas.openxmlformats.org/officeDocument/2006/relationships/hyperlink" Target="http://www.sec.gov/Archives/edgar/data/1544856/000119312512264153/d343004df1a.htm" TargetMode="External"/><Relationship Id="rId73" Type="http://schemas.openxmlformats.org/officeDocument/2006/relationships/hyperlink" Target="http://www.sec.gov/Archives/edgar/data/1544856/000119312512264153/d343004df1a.htm" TargetMode="External"/><Relationship Id="rId74" Type="http://schemas.openxmlformats.org/officeDocument/2006/relationships/hyperlink" Target="http://www.sec.gov/Archives/edgar/data/1544856/000119312512264153/d343004df1a.htm" TargetMode="External"/><Relationship Id="rId75" Type="http://schemas.openxmlformats.org/officeDocument/2006/relationships/hyperlink" Target="http://www.sec.gov/Archives/edgar/data/1544856/000119312512264153/d343004df1a.htm" TargetMode="External"/><Relationship Id="rId76" Type="http://schemas.openxmlformats.org/officeDocument/2006/relationships/hyperlink" Target="http://www.sec.gov/Archives/edgar/data/1544856/000119312512264153/d343004df1a.htm" TargetMode="External"/><Relationship Id="rId77" Type="http://schemas.openxmlformats.org/officeDocument/2006/relationships/hyperlink" Target="http://www.sec.gov/Archives/edgar/data/1544856/000119312512264153/d343004df1a.htm" TargetMode="External"/><Relationship Id="rId78" Type="http://schemas.openxmlformats.org/officeDocument/2006/relationships/hyperlink" Target="http://www.sec.gov/Archives/edgar/data/1544856/000119312512264153/d343004df1a.htm" TargetMode="External"/><Relationship Id="rId79" Type="http://schemas.openxmlformats.org/officeDocument/2006/relationships/hyperlink" Target="http://www.sec.gov/Archives/edgar/data/1544856/000119312512264153/d343004df1a.htm" TargetMode="External"/><Relationship Id="rId170" Type="http://schemas.openxmlformats.org/officeDocument/2006/relationships/hyperlink" Target="http://www.sec.gov/Archives/edgar/data/1544856/000119312512264153/d343004df1a.htm" TargetMode="External"/><Relationship Id="rId171" Type="http://schemas.openxmlformats.org/officeDocument/2006/relationships/hyperlink" Target="http://www.sec.gov/Archives/edgar/data/1544856/000119312512264153/d343004df1a.htm" TargetMode="External"/><Relationship Id="rId172" Type="http://schemas.openxmlformats.org/officeDocument/2006/relationships/hyperlink" Target="http://www.sec.gov/Archives/edgar/data/1544856/000119312512264153/d343004df1a.htm" TargetMode="External"/><Relationship Id="rId173" Type="http://schemas.openxmlformats.org/officeDocument/2006/relationships/hyperlink" Target="http://www.sec.gov/Archives/edgar/data/1544856/000119312512264153/d343004df1a.htm" TargetMode="External"/><Relationship Id="rId174" Type="http://schemas.openxmlformats.org/officeDocument/2006/relationships/hyperlink" Target="http://www.sec.gov/Archives/edgar/data/1544856/000119312512264153/d343004df1a.htm" TargetMode="External"/><Relationship Id="rId175" Type="http://schemas.openxmlformats.org/officeDocument/2006/relationships/hyperlink" Target="http://www.sec.gov/Archives/edgar/data/1544856/000119312512264153/d343004df1a.htm" TargetMode="External"/><Relationship Id="rId176" Type="http://schemas.openxmlformats.org/officeDocument/2006/relationships/hyperlink" Target="http://www.sec.gov/Archives/edgar/data/1544856/000119312512264153/d343004df1a.htm" TargetMode="External"/><Relationship Id="rId177" Type="http://schemas.openxmlformats.org/officeDocument/2006/relationships/hyperlink" Target="http://www.sec.gov/Archives/edgar/data/1544856/000119312512264153/d343004df1a.htm" TargetMode="External"/><Relationship Id="rId178" Type="http://schemas.openxmlformats.org/officeDocument/2006/relationships/hyperlink" Target="http://www.sec.gov/Archives/edgar/data/1544856/000119312512264153/d343004df1a.htm" TargetMode="External"/><Relationship Id="rId179" Type="http://schemas.openxmlformats.org/officeDocument/2006/relationships/hyperlink" Target="http://www.sec.gov/Archives/edgar/data/1544856/000119312512264153/d343004df1a.htm" TargetMode="External"/><Relationship Id="rId260" Type="http://schemas.openxmlformats.org/officeDocument/2006/relationships/hyperlink" Target="http://www.sec.gov/Archives/edgar/data/1544856/000119312512264153/d343004df1a.htm" TargetMode="External"/><Relationship Id="rId10" Type="http://schemas.openxmlformats.org/officeDocument/2006/relationships/image" Target="Macintosh%20HD:Users:Go:Dropbox:Creatika%20(1):5%20Filings:Filings%20SEC:./Amendment%20No.%202%20to%20Form%20F-1_files/g343004g76q51.jpg" TargetMode="External"/><Relationship Id="rId11" Type="http://schemas.openxmlformats.org/officeDocument/2006/relationships/hyperlink" Target="http://www.sec.gov/Archives/edgar/data/1544856/000119312512264153/d343004df1a.htm" TargetMode="External"/><Relationship Id="rId12" Type="http://schemas.openxmlformats.org/officeDocument/2006/relationships/image" Target="Macintosh%20HD:Users:Go:Dropbox:Creatika%20(1):5%20Filings:Filings%20SEC:./Amendment%20No.%202%20to%20Form%20F-1_files/g343004g18v14.jpg" TargetMode="External"/><Relationship Id="rId13" Type="http://schemas.openxmlformats.org/officeDocument/2006/relationships/hyperlink" Target="http://www.sec.gov/Archives/edgar/data/1544856/000119312512264153/d343004df1a.htm" TargetMode="External"/><Relationship Id="rId14" Type="http://schemas.openxmlformats.org/officeDocument/2006/relationships/hyperlink" Target="http://www.sec.gov/Archives/edgar/data/1544856/000119312512264153/d343004df1a.htm" TargetMode="External"/><Relationship Id="rId15" Type="http://schemas.openxmlformats.org/officeDocument/2006/relationships/hyperlink" Target="http://www.sec.gov/Archives/edgar/data/1544856/000119312512264153/d343004df1a.htm" TargetMode="External"/><Relationship Id="rId16" Type="http://schemas.openxmlformats.org/officeDocument/2006/relationships/hyperlink" Target="http://www.sec.gov/Archives/edgar/data/1544856/000119312512264153/d343004df1a.htm" TargetMode="External"/><Relationship Id="rId17" Type="http://schemas.openxmlformats.org/officeDocument/2006/relationships/hyperlink" Target="http://www.sec.gov/Archives/edgar/data/1544856/000119312512264153/d343004df1a.htm" TargetMode="External"/><Relationship Id="rId18" Type="http://schemas.openxmlformats.org/officeDocument/2006/relationships/hyperlink" Target="http://www.sec.gov/Archives/edgar/data/1544856/000119312512264153/d343004df1a.htm" TargetMode="External"/><Relationship Id="rId19" Type="http://schemas.openxmlformats.org/officeDocument/2006/relationships/hyperlink" Target="http://www.sec.gov/Archives/edgar/data/1544856/000119312512264153/d343004df1a.htm" TargetMode="External"/><Relationship Id="rId261" Type="http://schemas.openxmlformats.org/officeDocument/2006/relationships/hyperlink" Target="http://www.sec.gov/Archives/edgar/data/1544856/000119312512264153/d343004df1a.htm" TargetMode="External"/><Relationship Id="rId262" Type="http://schemas.openxmlformats.org/officeDocument/2006/relationships/hyperlink" Target="http://www.sec.gov/Archives/edgar/data/1544856/000119312512264153/d343004df1a.htm" TargetMode="External"/><Relationship Id="rId263" Type="http://schemas.openxmlformats.org/officeDocument/2006/relationships/hyperlink" Target="http://www.sec.gov/Archives/edgar/data/1544856/000119312512264153/d343004df1a.htm" TargetMode="External"/><Relationship Id="rId264" Type="http://schemas.openxmlformats.org/officeDocument/2006/relationships/hyperlink" Target="http://www.sec.gov/Archives/edgar/data/1544856/000119312512264153/d343004df1a.htm" TargetMode="External"/><Relationship Id="rId110" Type="http://schemas.openxmlformats.org/officeDocument/2006/relationships/hyperlink" Target="http://www.sec.gov/Archives/edgar/data/1544856/000119312512264153/d343004df1a.htm" TargetMode="External"/><Relationship Id="rId111" Type="http://schemas.openxmlformats.org/officeDocument/2006/relationships/hyperlink" Target="http://www.sec.gov/Archives/edgar/data/1544856/000119312512264153/d343004df1a.htm" TargetMode="External"/><Relationship Id="rId112" Type="http://schemas.openxmlformats.org/officeDocument/2006/relationships/hyperlink" Target="http://www.sec.gov/Archives/edgar/data/1544856/000119312512264153/d343004df1a.htm" TargetMode="External"/><Relationship Id="rId113" Type="http://schemas.openxmlformats.org/officeDocument/2006/relationships/hyperlink" Target="http://www.sec.gov/Archives/edgar/data/1544856/000119312512264153/d343004df1a.htm" TargetMode="External"/><Relationship Id="rId114" Type="http://schemas.openxmlformats.org/officeDocument/2006/relationships/hyperlink" Target="http://www.sec.gov/Archives/edgar/data/1544856/000119312512264153/d343004df1a.htm" TargetMode="External"/><Relationship Id="rId115" Type="http://schemas.openxmlformats.org/officeDocument/2006/relationships/hyperlink" Target="http://www.sec.gov/Archives/edgar/data/1544856/000119312512264153/d343004df1a.htm" TargetMode="External"/><Relationship Id="rId116" Type="http://schemas.openxmlformats.org/officeDocument/2006/relationships/hyperlink" Target="http://www.sec.gov/Archives/edgar/data/1544856/000119312512264153/d343004df1a.htm" TargetMode="External"/><Relationship Id="rId117" Type="http://schemas.openxmlformats.org/officeDocument/2006/relationships/hyperlink" Target="http://www.sec.gov/Archives/edgar/data/1544856/000119312512264153/d343004df1a.htm" TargetMode="External"/><Relationship Id="rId118" Type="http://schemas.openxmlformats.org/officeDocument/2006/relationships/hyperlink" Target="http://www.sec.gov/Archives/edgar/data/1544856/000119312512264153/d343004df1a.htm" TargetMode="External"/><Relationship Id="rId119" Type="http://schemas.openxmlformats.org/officeDocument/2006/relationships/hyperlink" Target="http://www.sec.gov/Archives/edgar/data/1544856/000119312512264153/d343004df1a.htm" TargetMode="External"/><Relationship Id="rId200" Type="http://schemas.openxmlformats.org/officeDocument/2006/relationships/hyperlink" Target="http://www.sec.gov/Archives/edgar/data/1544856/000119312512264153/d343004df1a.htm" TargetMode="External"/><Relationship Id="rId201" Type="http://schemas.openxmlformats.org/officeDocument/2006/relationships/hyperlink" Target="http://www.sec.gov/Archives/edgar/data/1544856/000119312512264153/d343004df1a.htm" TargetMode="External"/><Relationship Id="rId202" Type="http://schemas.openxmlformats.org/officeDocument/2006/relationships/hyperlink" Target="http://www.sec.gov/Archives/edgar/data/1544856/000119312512264153/d343004df1a.htm" TargetMode="External"/><Relationship Id="rId203" Type="http://schemas.openxmlformats.org/officeDocument/2006/relationships/hyperlink" Target="http://www.sec.gov/Archives/edgar/data/1544856/000119312512264153/d343004df1a.htm" TargetMode="External"/><Relationship Id="rId204" Type="http://schemas.openxmlformats.org/officeDocument/2006/relationships/hyperlink" Target="http://www.sec.gov/Archives/edgar/data/1544856/000119312512264153/d343004df1a.htm" TargetMode="External"/><Relationship Id="rId205" Type="http://schemas.openxmlformats.org/officeDocument/2006/relationships/hyperlink" Target="http://www.sec.gov/Archives/edgar/data/1544856/000119312512264153/d343004df1a.htm" TargetMode="External"/><Relationship Id="rId206" Type="http://schemas.openxmlformats.org/officeDocument/2006/relationships/hyperlink" Target="http://www.sec.gov/Archives/edgar/data/1544856/000119312512264153/d343004df1a.htm" TargetMode="External"/><Relationship Id="rId207" Type="http://schemas.openxmlformats.org/officeDocument/2006/relationships/hyperlink" Target="http://www.sec.gov/Archives/edgar/data/1544856/000119312512264153/d343004df1a.htm" TargetMode="External"/><Relationship Id="rId208" Type="http://schemas.openxmlformats.org/officeDocument/2006/relationships/hyperlink" Target="http://www.sec.gov/Archives/edgar/data/1544856/000119312512264153/d343004df1a.htm" TargetMode="External"/><Relationship Id="rId209" Type="http://schemas.openxmlformats.org/officeDocument/2006/relationships/hyperlink" Target="http://www.sec.gov/Archives/edgar/data/1544856/000119312512264153/d343004df1a.htm" TargetMode="External"/><Relationship Id="rId265" Type="http://schemas.openxmlformats.org/officeDocument/2006/relationships/hyperlink" Target="http://www.sec.gov/Archives/edgar/data/1544856/000119312512264153/d343004df1a.htm" TargetMode="External"/><Relationship Id="rId266" Type="http://schemas.openxmlformats.org/officeDocument/2006/relationships/hyperlink" Target="http://www.sec.gov/Archives/edgar/data/1544856/000119312512264153/d343004df1a.htm" TargetMode="External"/><Relationship Id="rId267" Type="http://schemas.openxmlformats.org/officeDocument/2006/relationships/hyperlink" Target="http://www.sec.gov/Archives/edgar/data/1544856/000119312512264153/d343004df1a.htm" TargetMode="External"/><Relationship Id="rId268" Type="http://schemas.openxmlformats.org/officeDocument/2006/relationships/hyperlink" Target="http://www.sec.gov/Archives/edgar/data/1544856/000119312512264153/d343004df1a.htm" TargetMode="External"/><Relationship Id="rId269" Type="http://schemas.openxmlformats.org/officeDocument/2006/relationships/hyperlink" Target="http://www.sec.gov/Archives/edgar/data/1544856/000119312512264153/d343004df1a.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c.gov/Archives/edgar/data/1544856/000119312512264153/d343004df1a.htm" TargetMode="External"/><Relationship Id="rId6" Type="http://schemas.openxmlformats.org/officeDocument/2006/relationships/hyperlink" Target="http://www.sec.gov/Archives/edgar/data/1544856/000119312512264153/d343004df1a.htm" TargetMode="External"/><Relationship Id="rId7" Type="http://schemas.openxmlformats.org/officeDocument/2006/relationships/image" Target="Macintosh%20HD:Users:Go:Dropbox:Creatika%20(1):5%20Filings:Filings%20SEC:./Amendment%20No.%202%20to%20Form%20F-1_files/g343004g52u42.jpg" TargetMode="External"/><Relationship Id="rId8" Type="http://schemas.openxmlformats.org/officeDocument/2006/relationships/hyperlink" Target="http://www.sec.gov/Archives/edgar/data/1544856/000119312512264153/d343004df1a.htm" TargetMode="External"/><Relationship Id="rId9" Type="http://schemas.openxmlformats.org/officeDocument/2006/relationships/hyperlink" Target="http://www.sec.gov/Archives/edgar/data/1544856/000119312512264153/d343004df1a.htm" TargetMode="External"/><Relationship Id="rId80" Type="http://schemas.openxmlformats.org/officeDocument/2006/relationships/hyperlink" Target="http://www.sec.gov/Archives/edgar/data/1544856/000119312512264153/d343004df1a.htm" TargetMode="External"/><Relationship Id="rId81" Type="http://schemas.openxmlformats.org/officeDocument/2006/relationships/hyperlink" Target="http://www.sec.gov/Archives/edgar/data/1544856/000119312512264153/d343004df1a.htm" TargetMode="External"/><Relationship Id="rId82" Type="http://schemas.openxmlformats.org/officeDocument/2006/relationships/hyperlink" Target="http://www.sec.gov/Archives/edgar/data/1544856/000119312512264153/d343004df1a.htm" TargetMode="External"/><Relationship Id="rId83" Type="http://schemas.openxmlformats.org/officeDocument/2006/relationships/hyperlink" Target="http://www.sec.gov/Archives/edgar/data/1544856/000119312512264153/d343004df1a.htm" TargetMode="External"/><Relationship Id="rId84" Type="http://schemas.openxmlformats.org/officeDocument/2006/relationships/hyperlink" Target="http://www.sec.gov/Archives/edgar/data/1544856/000119312512264153/d343004df1a.htm" TargetMode="External"/><Relationship Id="rId85" Type="http://schemas.openxmlformats.org/officeDocument/2006/relationships/hyperlink" Target="http://www.sec.gov/Archives/edgar/data/1544856/000119312512264153/d343004df1a.htm" TargetMode="External"/><Relationship Id="rId86" Type="http://schemas.openxmlformats.org/officeDocument/2006/relationships/hyperlink" Target="http://www.sec.gov/Archives/edgar/data/1544856/000119312512264153/d343004df1a.htm" TargetMode="External"/><Relationship Id="rId87" Type="http://schemas.openxmlformats.org/officeDocument/2006/relationships/hyperlink" Target="http://www.sec.gov/Archives/edgar/data/1544856/000119312512264153/d343004df1a.htm" TargetMode="External"/><Relationship Id="rId88" Type="http://schemas.openxmlformats.org/officeDocument/2006/relationships/hyperlink" Target="http://www.sec.gov/Archives/edgar/data/1544856/000119312512264153/d343004df1a.htm" TargetMode="External"/><Relationship Id="rId89" Type="http://schemas.openxmlformats.org/officeDocument/2006/relationships/hyperlink" Target="http://www.sec.gov/Archives/edgar/data/1544856/000119312512264153/d343004df1a.htm" TargetMode="External"/><Relationship Id="rId180" Type="http://schemas.openxmlformats.org/officeDocument/2006/relationships/hyperlink" Target="http://www.sec.gov/Archives/edgar/data/1544856/000119312512264153/d343004df1a.htm" TargetMode="External"/><Relationship Id="rId181" Type="http://schemas.openxmlformats.org/officeDocument/2006/relationships/hyperlink" Target="http://www.sec.gov/Archives/edgar/data/1544856/000119312512264153/d343004df1a.htm" TargetMode="External"/><Relationship Id="rId182" Type="http://schemas.openxmlformats.org/officeDocument/2006/relationships/hyperlink" Target="http://www.sec.gov/Archives/edgar/data/1544856/000119312512264153/d343004df1a.htm" TargetMode="External"/><Relationship Id="rId183" Type="http://schemas.openxmlformats.org/officeDocument/2006/relationships/hyperlink" Target="http://www.sec.gov/Archives/edgar/data/1544856/000119312512264153/d343004df1a.htm" TargetMode="External"/><Relationship Id="rId184" Type="http://schemas.openxmlformats.org/officeDocument/2006/relationships/hyperlink" Target="http://www.sec.gov/Archives/edgar/data/1544856/000119312512264153/d343004df1a.htm" TargetMode="External"/><Relationship Id="rId185" Type="http://schemas.openxmlformats.org/officeDocument/2006/relationships/hyperlink" Target="http://www.sec.gov/Archives/edgar/data/1544856/000119312512264153/d343004df1a.htm" TargetMode="External"/><Relationship Id="rId186" Type="http://schemas.openxmlformats.org/officeDocument/2006/relationships/hyperlink" Target="http://www.sec.gov/Archives/edgar/data/1544856/000119312512264153/d343004df1a.htm" TargetMode="External"/><Relationship Id="rId187" Type="http://schemas.openxmlformats.org/officeDocument/2006/relationships/hyperlink" Target="http://www.sec.gov/Archives/edgar/data/1544856/000119312512264153/d343004df1a.htm" TargetMode="External"/><Relationship Id="rId188" Type="http://schemas.openxmlformats.org/officeDocument/2006/relationships/hyperlink" Target="http://www.sec.gov/Archives/edgar/data/1544856/000119312512264153/d343004df1a.htm" TargetMode="External"/><Relationship Id="rId189" Type="http://schemas.openxmlformats.org/officeDocument/2006/relationships/hyperlink" Target="http://www.sec.gov/Archives/edgar/data/1544856/000119312512264153/d343004df1a.htm" TargetMode="External"/><Relationship Id="rId270" Type="http://schemas.openxmlformats.org/officeDocument/2006/relationships/hyperlink" Target="http://www.sec.gov/Archives/edgar/data/1544856/000119312512264153/d343004df1a.htm" TargetMode="External"/><Relationship Id="rId20" Type="http://schemas.openxmlformats.org/officeDocument/2006/relationships/hyperlink" Target="http://www.sec.gov/Archives/edgar/data/1544856/000119312512264153/d343004df1a.htm" TargetMode="External"/><Relationship Id="rId21" Type="http://schemas.openxmlformats.org/officeDocument/2006/relationships/hyperlink" Target="http://www.sec.gov/Archives/edgar/data/1544856/000119312512264153/d343004df1a.htm" TargetMode="External"/><Relationship Id="rId22" Type="http://schemas.openxmlformats.org/officeDocument/2006/relationships/hyperlink" Target="http://www.sec.gov/Archives/edgar/data/1544856/000119312512264153/d343004df1a.htm" TargetMode="External"/><Relationship Id="rId23" Type="http://schemas.openxmlformats.org/officeDocument/2006/relationships/hyperlink" Target="http://www.sec.gov/Archives/edgar/data/1544856/000119312512264153/d343004df1a.htm" TargetMode="External"/><Relationship Id="rId24" Type="http://schemas.openxmlformats.org/officeDocument/2006/relationships/hyperlink" Target="http://www.sec.gov/Archives/edgar/data/1544856/000119312512264153/d343004df1a.htm" TargetMode="External"/><Relationship Id="rId25" Type="http://schemas.openxmlformats.org/officeDocument/2006/relationships/hyperlink" Target="http://www.sec.gov/Archives/edgar/data/1544856/000119312512264153/d343004df1a.htm" TargetMode="External"/><Relationship Id="rId26" Type="http://schemas.openxmlformats.org/officeDocument/2006/relationships/hyperlink" Target="http://www.sec.gov/Archives/edgar/data/1544856/000119312512264153/d343004df1a.htm" TargetMode="External"/><Relationship Id="rId27" Type="http://schemas.openxmlformats.org/officeDocument/2006/relationships/hyperlink" Target="http://www.sec.gov/Archives/edgar/data/1544856/000119312512264153/d343004df1a.htm" TargetMode="External"/><Relationship Id="rId28" Type="http://schemas.openxmlformats.org/officeDocument/2006/relationships/hyperlink" Target="http://www.sec.gov/Archives/edgar/data/1544856/000119312512264153/d343004df1a.htm" TargetMode="External"/><Relationship Id="rId29" Type="http://schemas.openxmlformats.org/officeDocument/2006/relationships/hyperlink" Target="http://www.sec.gov/Archives/edgar/data/1544856/000119312512264153/d343004df1a.htm" TargetMode="External"/><Relationship Id="rId271" Type="http://schemas.openxmlformats.org/officeDocument/2006/relationships/hyperlink" Target="http://www.sec.gov/Archives/edgar/data/1544856/000119312512264153/d343004df1a.htm" TargetMode="External"/><Relationship Id="rId272" Type="http://schemas.openxmlformats.org/officeDocument/2006/relationships/hyperlink" Target="http://www.sec.gov/Archives/edgar/data/1544856/000119312512264153/d343004df1a.htm" TargetMode="External"/><Relationship Id="rId273" Type="http://schemas.openxmlformats.org/officeDocument/2006/relationships/hyperlink" Target="http://www.sec.gov/Archives/edgar/data/1544856/000119312512264153/d343004df1a.htm" TargetMode="External"/><Relationship Id="rId274" Type="http://schemas.openxmlformats.org/officeDocument/2006/relationships/hyperlink" Target="http://www.sec.gov/Archives/edgar/data/1544856/000119312512264153/d343004df1a.htm" TargetMode="External"/><Relationship Id="rId120" Type="http://schemas.openxmlformats.org/officeDocument/2006/relationships/hyperlink" Target="http://www.sec.gov/Archives/edgar/data/1544856/000119312512264153/d343004df1a.htm" TargetMode="External"/><Relationship Id="rId121" Type="http://schemas.openxmlformats.org/officeDocument/2006/relationships/hyperlink" Target="http://www.sec.gov/Archives/edgar/data/1544856/000119312512264153/d343004df1a.htm" TargetMode="External"/><Relationship Id="rId122" Type="http://schemas.openxmlformats.org/officeDocument/2006/relationships/hyperlink" Target="http://www.sec.gov/Archives/edgar/data/1544856/000119312512264153/d343004df1a.htm" TargetMode="External"/><Relationship Id="rId123" Type="http://schemas.openxmlformats.org/officeDocument/2006/relationships/hyperlink" Target="http://www.sec.gov/Archives/edgar/data/1544856/000119312512264153/d343004df1a.htm" TargetMode="External"/><Relationship Id="rId124" Type="http://schemas.openxmlformats.org/officeDocument/2006/relationships/hyperlink" Target="http://www.sec.gov/Archives/edgar/data/1544856/000119312512264153/d343004df1a.htm" TargetMode="External"/><Relationship Id="rId125" Type="http://schemas.openxmlformats.org/officeDocument/2006/relationships/hyperlink" Target="http://www.sec.gov/Archives/edgar/data/1544856/000119312512264153/d343004df1a.htm" TargetMode="External"/><Relationship Id="rId126" Type="http://schemas.openxmlformats.org/officeDocument/2006/relationships/hyperlink" Target="http://www.sec.gov/Archives/edgar/data/1544856/000119312512264153/d343004df1a.htm" TargetMode="External"/><Relationship Id="rId127" Type="http://schemas.openxmlformats.org/officeDocument/2006/relationships/hyperlink" Target="http://www.sec.gov/Archives/edgar/data/1544856/000119312512264153/d343004df1a.htm" TargetMode="External"/><Relationship Id="rId128" Type="http://schemas.openxmlformats.org/officeDocument/2006/relationships/hyperlink" Target="http://www.sec.gov/Archives/edgar/data/1544856/000119312512264153/d343004df1a.htm" TargetMode="External"/><Relationship Id="rId129" Type="http://schemas.openxmlformats.org/officeDocument/2006/relationships/hyperlink" Target="http://www.sec.gov/Archives/edgar/data/1544856/000119312512264153/d343004df1a.htm" TargetMode="External"/><Relationship Id="rId210" Type="http://schemas.openxmlformats.org/officeDocument/2006/relationships/hyperlink" Target="http://www.sec.gov/Archives/edgar/data/1544856/000119312512264153/d343004df1a.htm" TargetMode="External"/><Relationship Id="rId211" Type="http://schemas.openxmlformats.org/officeDocument/2006/relationships/hyperlink" Target="http://www.sec.gov/Archives/edgar/data/1544856/000119312512264153/d343004df1a.htm" TargetMode="External"/><Relationship Id="rId212" Type="http://schemas.openxmlformats.org/officeDocument/2006/relationships/hyperlink" Target="http://www.sec.gov/Archives/edgar/data/1544856/000119312512264153/d343004df1a.htm" TargetMode="External"/><Relationship Id="rId213" Type="http://schemas.openxmlformats.org/officeDocument/2006/relationships/hyperlink" Target="http://www.sec.gov/Archives/edgar/data/1544856/000119312512264153/d343004df1a.htm" TargetMode="External"/><Relationship Id="rId214" Type="http://schemas.openxmlformats.org/officeDocument/2006/relationships/hyperlink" Target="http://www.sec.gov/Archives/edgar/data/1544856/000119312512264153/d343004df1a.htm" TargetMode="External"/><Relationship Id="rId215" Type="http://schemas.openxmlformats.org/officeDocument/2006/relationships/hyperlink" Target="http://www.sec.gov/Archives/edgar/data/1544856/000119312512264153/d343004df1a.htm" TargetMode="External"/><Relationship Id="rId216" Type="http://schemas.openxmlformats.org/officeDocument/2006/relationships/hyperlink" Target="http://www.sec.gov/Archives/edgar/data/1544856/000119312512264153/d343004df1a.htm" TargetMode="External"/><Relationship Id="rId217" Type="http://schemas.openxmlformats.org/officeDocument/2006/relationships/image" Target="Macintosh%20HD:Users:Go:Dropbox:Creatika%20(1):5%20Filings:Filings%20SEC:./Amendment%20No.%202%20to%20Form%20F-1_files/g343004g94m05.jpg" TargetMode="External"/><Relationship Id="rId218" Type="http://schemas.openxmlformats.org/officeDocument/2006/relationships/hyperlink" Target="http://www.sec.gov/Archives/edgar/data/1544856/000119312512264153/d343004df1a.htm" TargetMode="External"/><Relationship Id="rId219" Type="http://schemas.openxmlformats.org/officeDocument/2006/relationships/hyperlink" Target="http://www.sec.gov/Archives/edgar/data/1544856/000119312512264153/d343004df1a.htm" TargetMode="External"/><Relationship Id="rId275" Type="http://schemas.openxmlformats.org/officeDocument/2006/relationships/hyperlink" Target="http://www.sec.gov/Archives/edgar/data/1544856/000119312512264153/d343004df1a.htm" TargetMode="External"/><Relationship Id="rId276" Type="http://schemas.openxmlformats.org/officeDocument/2006/relationships/hyperlink" Target="http://www.sec.gov/Archives/edgar/data/1544856/000119312512264153/d343004df1a.htm" TargetMode="External"/><Relationship Id="rId277" Type="http://schemas.openxmlformats.org/officeDocument/2006/relationships/hyperlink" Target="http://www.sec.gov/Archives/edgar/data/1544856/000119312512264153/d343004df1a.htm" TargetMode="External"/><Relationship Id="rId278" Type="http://schemas.openxmlformats.org/officeDocument/2006/relationships/hyperlink" Target="http://www.sec.gov/Archives/edgar/data/1544856/000119312512264153/d343004df1a.htm" TargetMode="External"/><Relationship Id="rId279" Type="http://schemas.openxmlformats.org/officeDocument/2006/relationships/hyperlink" Target="http://www.sec.gov/Archives/edgar/data/1544856/000119312512264153/d343004df1a.htm" TargetMode="External"/><Relationship Id="rId300" Type="http://schemas.openxmlformats.org/officeDocument/2006/relationships/hyperlink" Target="http://www.sec.gov/Archives/edgar/data/1544856/000119312512264153/d343004df1a.htm" TargetMode="External"/><Relationship Id="rId301" Type="http://schemas.openxmlformats.org/officeDocument/2006/relationships/hyperlink" Target="http://www.sec.gov/Archives/edgar/data/1544856/000119312512264153/d343004df1a.htm" TargetMode="External"/><Relationship Id="rId302" Type="http://schemas.openxmlformats.org/officeDocument/2006/relationships/hyperlink" Target="http://www.sec.gov/Archives/edgar/data/1544856/000119312512264153/d343004df1a.htm" TargetMode="External"/><Relationship Id="rId303" Type="http://schemas.openxmlformats.org/officeDocument/2006/relationships/hyperlink" Target="http://www.sec.gov/Archives/edgar/data/1544856/000119312512264153/d343004df1a.htm" TargetMode="External"/><Relationship Id="rId304" Type="http://schemas.openxmlformats.org/officeDocument/2006/relationships/hyperlink" Target="http://www.sec.gov/Archives/edgar/data/1544856/000119312512264153/d343004df1a.htm" TargetMode="External"/><Relationship Id="rId305" Type="http://schemas.openxmlformats.org/officeDocument/2006/relationships/hyperlink" Target="http://www.sec.gov/Archives/edgar/data/1544856/000119312512264153/d343004df1a.htm" TargetMode="External"/><Relationship Id="rId306" Type="http://schemas.openxmlformats.org/officeDocument/2006/relationships/hyperlink" Target="http://www.sec.gov/Archives/edgar/data/1544856/000119312512264153/d343004df1a.htm" TargetMode="External"/><Relationship Id="rId307" Type="http://schemas.openxmlformats.org/officeDocument/2006/relationships/hyperlink" Target="http://www.sec.gov/Archives/edgar/data/1544856/000119312512264153/d343004df1a.htm" TargetMode="External"/><Relationship Id="rId308" Type="http://schemas.openxmlformats.org/officeDocument/2006/relationships/hyperlink" Target="http://www.sec.gov/Archives/edgar/data/1544856/000119312512264153/d343004df1a.htm" TargetMode="External"/><Relationship Id="rId309" Type="http://schemas.openxmlformats.org/officeDocument/2006/relationships/hyperlink" Target="http://www.sec.gov/Archives/edgar/data/1544856/000119312512264153/d343004df1a.htm" TargetMode="External"/><Relationship Id="rId90" Type="http://schemas.openxmlformats.org/officeDocument/2006/relationships/hyperlink" Target="http://www.sec.gov/Archives/edgar/data/1544856/000119312512264153/d343004df1a.htm" TargetMode="External"/><Relationship Id="rId91" Type="http://schemas.openxmlformats.org/officeDocument/2006/relationships/hyperlink" Target="http://www.sec.gov/Archives/edgar/data/1544856/000119312512264153/d343004df1a.htm" TargetMode="External"/><Relationship Id="rId92" Type="http://schemas.openxmlformats.org/officeDocument/2006/relationships/hyperlink" Target="http://www.sec.gov/Archives/edgar/data/1544856/000119312512264153/d343004df1a.htm" TargetMode="External"/><Relationship Id="rId93" Type="http://schemas.openxmlformats.org/officeDocument/2006/relationships/hyperlink" Target="http://www.sec.gov/Archives/edgar/data/1544856/000119312512264153/d343004df1a.htm" TargetMode="External"/><Relationship Id="rId94" Type="http://schemas.openxmlformats.org/officeDocument/2006/relationships/hyperlink" Target="http://www.sec.gov/Archives/edgar/data/1544856/000119312512264153/d343004df1a.htm" TargetMode="External"/><Relationship Id="rId95" Type="http://schemas.openxmlformats.org/officeDocument/2006/relationships/hyperlink" Target="http://www.sec.gov/Archives/edgar/data/1544856/000119312512264153/d343004df1a.htm" TargetMode="External"/><Relationship Id="rId96" Type="http://schemas.openxmlformats.org/officeDocument/2006/relationships/hyperlink" Target="http://www.sec.gov/Archives/edgar/data/1544856/000119312512264153/d343004df1a.htm" TargetMode="External"/><Relationship Id="rId97" Type="http://schemas.openxmlformats.org/officeDocument/2006/relationships/hyperlink" Target="http://www.sec.gov/Archives/edgar/data/1544856/000119312512264153/d343004df1a.htm" TargetMode="External"/><Relationship Id="rId98" Type="http://schemas.openxmlformats.org/officeDocument/2006/relationships/hyperlink" Target="http://www.sec.gov/Archives/edgar/data/1544856/000119312512264153/d343004df1a.htm" TargetMode="External"/><Relationship Id="rId99" Type="http://schemas.openxmlformats.org/officeDocument/2006/relationships/hyperlink" Target="http://www.sec.gov/Archives/edgar/data/1544856/000119312512264153/d343004df1a.htm" TargetMode="External"/><Relationship Id="rId190" Type="http://schemas.openxmlformats.org/officeDocument/2006/relationships/hyperlink" Target="http://www.sec.gov/Archives/edgar/data/1544856/000119312512264153/d343004df1a.htm" TargetMode="External"/><Relationship Id="rId191" Type="http://schemas.openxmlformats.org/officeDocument/2006/relationships/hyperlink" Target="http://www.sec.gov/Archives/edgar/data/1544856/000119312512264153/d343004df1a.htm" TargetMode="External"/><Relationship Id="rId192" Type="http://schemas.openxmlformats.org/officeDocument/2006/relationships/hyperlink" Target="http://www.sec.gov/Archives/edgar/data/1544856/000119312512264153/d343004df1a.htm" TargetMode="External"/><Relationship Id="rId193" Type="http://schemas.openxmlformats.org/officeDocument/2006/relationships/hyperlink" Target="http://www.sec.gov/Archives/edgar/data/1544856/000119312512264153/d343004df1a.htm" TargetMode="External"/><Relationship Id="rId194" Type="http://schemas.openxmlformats.org/officeDocument/2006/relationships/hyperlink" Target="http://www.sec.gov/Archives/edgar/data/1544856/000119312512264153/d343004df1a.htm" TargetMode="External"/><Relationship Id="rId195" Type="http://schemas.openxmlformats.org/officeDocument/2006/relationships/hyperlink" Target="http://www.sec.gov/Archives/edgar/data/1544856/000119312512264153/d343004df1a.htm" TargetMode="External"/><Relationship Id="rId196" Type="http://schemas.openxmlformats.org/officeDocument/2006/relationships/hyperlink" Target="http://www.sec.gov/Archives/edgar/data/1544856/000119312512264153/d343004df1a.htm" TargetMode="External"/><Relationship Id="rId197" Type="http://schemas.openxmlformats.org/officeDocument/2006/relationships/hyperlink" Target="http://www.sec.gov/Archives/edgar/data/1544856/000119312512264153/d343004df1a.htm" TargetMode="External"/><Relationship Id="rId198" Type="http://schemas.openxmlformats.org/officeDocument/2006/relationships/hyperlink" Target="http://www.sec.gov/Archives/edgar/data/1544856/000119312512264153/d343004df1a.htm" TargetMode="External"/><Relationship Id="rId199" Type="http://schemas.openxmlformats.org/officeDocument/2006/relationships/hyperlink" Target="http://www.sec.gov/Archives/edgar/data/1544856/000119312512264153/d343004df1a.htm" TargetMode="External"/><Relationship Id="rId280" Type="http://schemas.openxmlformats.org/officeDocument/2006/relationships/hyperlink" Target="http://www.sec.gov/Archives/edgar/data/1544856/000119312512264153/d343004df1a.htm" TargetMode="External"/><Relationship Id="rId30" Type="http://schemas.openxmlformats.org/officeDocument/2006/relationships/hyperlink" Target="http://www.sec.gov/Archives/edgar/data/1544856/000119312512264153/d343004df1a.htm" TargetMode="External"/><Relationship Id="rId31" Type="http://schemas.openxmlformats.org/officeDocument/2006/relationships/hyperlink" Target="http://www.sec.gov/Archives/edgar/data/1544856/000119312512264153/d343004df1a.htm" TargetMode="External"/><Relationship Id="rId32" Type="http://schemas.openxmlformats.org/officeDocument/2006/relationships/hyperlink" Target="http://www.sec.gov/Archives/edgar/data/1544856/000119312512264153/d343004df1a.htm" TargetMode="External"/><Relationship Id="rId33" Type="http://schemas.openxmlformats.org/officeDocument/2006/relationships/hyperlink" Target="http://www.sec.gov/Archives/edgar/data/1544856/000119312512264153/d343004df1a.htm" TargetMode="External"/><Relationship Id="rId34" Type="http://schemas.openxmlformats.org/officeDocument/2006/relationships/hyperlink" Target="http://www.sec.gov/Archives/edgar/data/1544856/000119312512264153/d343004df1a.htm" TargetMode="External"/><Relationship Id="rId35" Type="http://schemas.openxmlformats.org/officeDocument/2006/relationships/hyperlink" Target="http://www.sec.gov/Archives/edgar/data/1544856/000119312512264153/d343004df1a.htm" TargetMode="External"/><Relationship Id="rId36" Type="http://schemas.openxmlformats.org/officeDocument/2006/relationships/hyperlink" Target="http://www.sec.gov/Archives/edgar/data/1544856/000119312512264153/d343004df1a.htm" TargetMode="External"/><Relationship Id="rId37" Type="http://schemas.openxmlformats.org/officeDocument/2006/relationships/hyperlink" Target="http://www.sec.gov/Archives/edgar/data/1544856/000119312512264153/d343004df1a.htm" TargetMode="External"/><Relationship Id="rId38" Type="http://schemas.openxmlformats.org/officeDocument/2006/relationships/hyperlink" Target="http://www.sec.gov/Archives/edgar/data/1544856/000119312512264153/d343004df1a.htm" TargetMode="External"/><Relationship Id="rId39" Type="http://schemas.openxmlformats.org/officeDocument/2006/relationships/hyperlink" Target="http://www.sec.gov/Archives/edgar/data/1544856/000119312512264153/d343004df1a.htm" TargetMode="External"/><Relationship Id="rId281" Type="http://schemas.openxmlformats.org/officeDocument/2006/relationships/hyperlink" Target="http://www.sec.gov/Archives/edgar/data/1544856/000119312512264153/d343004df1a.htm" TargetMode="External"/><Relationship Id="rId282" Type="http://schemas.openxmlformats.org/officeDocument/2006/relationships/hyperlink" Target="http://www.sec.gov/Archives/edgar/data/1544856/000119312512264153/d343004df1a.htm" TargetMode="External"/><Relationship Id="rId283" Type="http://schemas.openxmlformats.org/officeDocument/2006/relationships/hyperlink" Target="http://www.sec.gov/Archives/edgar/data/1544856/000119312512264153/d343004df1a.htm" TargetMode="External"/><Relationship Id="rId284" Type="http://schemas.openxmlformats.org/officeDocument/2006/relationships/hyperlink" Target="http://www.sec.gov/Archives/edgar/data/1544856/000119312512264153/d343004df1a.htm" TargetMode="External"/><Relationship Id="rId130" Type="http://schemas.openxmlformats.org/officeDocument/2006/relationships/hyperlink" Target="http://www.sec.gov/Archives/edgar/data/1544856/000119312512264153/d343004df1a.htm" TargetMode="External"/><Relationship Id="rId131" Type="http://schemas.openxmlformats.org/officeDocument/2006/relationships/hyperlink" Target="http://www.sec.gov/Archives/edgar/data/1544856/000119312512264153/d343004df1a.htm" TargetMode="External"/><Relationship Id="rId132" Type="http://schemas.openxmlformats.org/officeDocument/2006/relationships/hyperlink" Target="http://www.sec.gov/Archives/edgar/data/1544856/000119312512264153/d343004df1a.htm" TargetMode="External"/><Relationship Id="rId133" Type="http://schemas.openxmlformats.org/officeDocument/2006/relationships/hyperlink" Target="http://www.sec.gov/Archives/edgar/data/1544856/000119312512264153/d343004df1a.htm" TargetMode="External"/><Relationship Id="rId220" Type="http://schemas.openxmlformats.org/officeDocument/2006/relationships/hyperlink" Target="http://www.sec.gov/Archives/edgar/data/1544856/000119312512264153/d343004df1a.htm" TargetMode="External"/><Relationship Id="rId221" Type="http://schemas.openxmlformats.org/officeDocument/2006/relationships/hyperlink" Target="http://www.sec.gov/Archives/edgar/data/1544856/000119312512264153/d343004df1a.htm" TargetMode="External"/><Relationship Id="rId222" Type="http://schemas.openxmlformats.org/officeDocument/2006/relationships/hyperlink" Target="http://www.sec.gov/Archives/edgar/data/1544856/000119312512264153/d343004df1a.htm" TargetMode="External"/><Relationship Id="rId223" Type="http://schemas.openxmlformats.org/officeDocument/2006/relationships/hyperlink" Target="http://www.sec.gov/Archives/edgar/data/1544856/000119312512264153/d343004df1a.htm" TargetMode="External"/><Relationship Id="rId224" Type="http://schemas.openxmlformats.org/officeDocument/2006/relationships/hyperlink" Target="http://www.sec.gov/Archives/edgar/data/1544856/000119312512264153/d343004df1a.htm" TargetMode="External"/><Relationship Id="rId225" Type="http://schemas.openxmlformats.org/officeDocument/2006/relationships/hyperlink" Target="http://www.sec.gov/Archives/edgar/data/1544856/000119312512264153/d343004df1a.htm" TargetMode="External"/><Relationship Id="rId226" Type="http://schemas.openxmlformats.org/officeDocument/2006/relationships/hyperlink" Target="http://www.sec.gov/Archives/edgar/data/1544856/000119312512264153/d343004df1a.htm" TargetMode="External"/><Relationship Id="rId227" Type="http://schemas.openxmlformats.org/officeDocument/2006/relationships/hyperlink" Target="http://www.sec.gov/Archives/edgar/data/1544856/000119312512264153/d343004df1a.htm" TargetMode="External"/><Relationship Id="rId228" Type="http://schemas.openxmlformats.org/officeDocument/2006/relationships/hyperlink" Target="http://www.sec.gov/Archives/edgar/data/1544856/000119312512264153/d343004df1a.htm" TargetMode="External"/><Relationship Id="rId229" Type="http://schemas.openxmlformats.org/officeDocument/2006/relationships/image" Target="Macintosh%20HD:Users:Go:Dropbox:Creatika%20(1):5%20Filings:Filings%20SEC:./Amendment%20No.%202%20to%20Form%20F-1_files/g343004g94m12.jpg" TargetMode="External"/><Relationship Id="rId134" Type="http://schemas.openxmlformats.org/officeDocument/2006/relationships/hyperlink" Target="http://www.sec.gov/Archives/edgar/data/1544856/000119312512264153/d343004df1a.htm" TargetMode="External"/><Relationship Id="rId135" Type="http://schemas.openxmlformats.org/officeDocument/2006/relationships/hyperlink" Target="http://www.sec.gov/Archives/edgar/data/1544856/000119312512264153/d343004df1a.htm" TargetMode="External"/><Relationship Id="rId136" Type="http://schemas.openxmlformats.org/officeDocument/2006/relationships/hyperlink" Target="http://www.sec.gov/Archives/edgar/data/1544856/000119312512264153/d343004df1a.htm" TargetMode="External"/><Relationship Id="rId137" Type="http://schemas.openxmlformats.org/officeDocument/2006/relationships/hyperlink" Target="http://www.sec.gov/Archives/edgar/data/1544856/000119312512264153/d343004df1a.htm" TargetMode="External"/><Relationship Id="rId138" Type="http://schemas.openxmlformats.org/officeDocument/2006/relationships/hyperlink" Target="http://www.sec.gov/Archives/edgar/data/1544856/000119312512264153/d343004df1a.htm" TargetMode="External"/><Relationship Id="rId139" Type="http://schemas.openxmlformats.org/officeDocument/2006/relationships/hyperlink" Target="http://www.sec.gov/Archives/edgar/data/1544856/000119312512264153/d343004df1a.htm" TargetMode="External"/><Relationship Id="rId285" Type="http://schemas.openxmlformats.org/officeDocument/2006/relationships/hyperlink" Target="http://www.sec.gov/Archives/edgar/data/1544856/000119312512264153/d343004df1a.htm" TargetMode="External"/><Relationship Id="rId286" Type="http://schemas.openxmlformats.org/officeDocument/2006/relationships/hyperlink" Target="http://www.sec.gov/Archives/edgar/data/1544856/000119312512264153/d343004df1a.htm" TargetMode="External"/><Relationship Id="rId287" Type="http://schemas.openxmlformats.org/officeDocument/2006/relationships/hyperlink" Target="http://www.sec.gov/Archives/edgar/data/1544856/000119312512264153/d343004df1a.htm" TargetMode="External"/><Relationship Id="rId288" Type="http://schemas.openxmlformats.org/officeDocument/2006/relationships/hyperlink" Target="http://www.sec.gov/Archives/edgar/data/1544856/000119312512264153/d343004df1a.htm" TargetMode="External"/><Relationship Id="rId289" Type="http://schemas.openxmlformats.org/officeDocument/2006/relationships/hyperlink" Target="http://www.sec.gov/Archives/edgar/data/1544856/000119312512264153/d343004df1a.htm" TargetMode="External"/><Relationship Id="rId310" Type="http://schemas.openxmlformats.org/officeDocument/2006/relationships/hyperlink" Target="http://www.sec.gov/Archives/edgar/data/1544856/000119312512264153/d343004df1a.htm" TargetMode="External"/><Relationship Id="rId311" Type="http://schemas.openxmlformats.org/officeDocument/2006/relationships/hyperlink" Target="http://www.sec.gov/Archives/edgar/data/1544856/000119312512264153/d343004df1a.htm" TargetMode="External"/><Relationship Id="rId312" Type="http://schemas.openxmlformats.org/officeDocument/2006/relationships/hyperlink" Target="http://www.sec.gov/Archives/edgar/data/1544856/000119312512264153/d343004df1a.htm" TargetMode="External"/><Relationship Id="rId313" Type="http://schemas.openxmlformats.org/officeDocument/2006/relationships/hyperlink" Target="http://www.sec.gov/Archives/edgar/data/1544856/000119312512264153/d343004df1a.htm" TargetMode="External"/><Relationship Id="rId314" Type="http://schemas.openxmlformats.org/officeDocument/2006/relationships/hyperlink" Target="http://www.sec.gov/Archives/edgar/data/1544856/000119312512264153/d343004df1a.htm" TargetMode="External"/><Relationship Id="rId315" Type="http://schemas.openxmlformats.org/officeDocument/2006/relationships/hyperlink" Target="http://www.sec.gov/Archives/edgar/data/1544856/000119312512264153/d343004df1a.htm" TargetMode="External"/><Relationship Id="rId316" Type="http://schemas.openxmlformats.org/officeDocument/2006/relationships/hyperlink" Target="http://www.sec.gov/Archives/edgar/data/1544856/000119312512264153/d343004df1a.htm" TargetMode="External"/><Relationship Id="rId317" Type="http://schemas.openxmlformats.org/officeDocument/2006/relationships/hyperlink" Target="http://www.sec.gov/Archives/edgar/data/1544856/000119312512264153/d343004df1a.htm" TargetMode="External"/><Relationship Id="rId318" Type="http://schemas.openxmlformats.org/officeDocument/2006/relationships/hyperlink" Target="http://www.sec.gov/Archives/edgar/data/1544856/000119312512264153/d343004df1a.htm" TargetMode="External"/><Relationship Id="rId319" Type="http://schemas.openxmlformats.org/officeDocument/2006/relationships/hyperlink" Target="http://www.sec.gov/Archives/edgar/data/1544856/000119312512264153/d343004df1a.htm" TargetMode="External"/><Relationship Id="rId290" Type="http://schemas.openxmlformats.org/officeDocument/2006/relationships/hyperlink" Target="http://www.sec.gov/Archives/edgar/data/1544856/000119312512264153/d343004df1a.htm" TargetMode="External"/><Relationship Id="rId291" Type="http://schemas.openxmlformats.org/officeDocument/2006/relationships/hyperlink" Target="http://www.sec.gov/Archives/edgar/data/1544856/000119312512264153/d343004df1a.htm" TargetMode="External"/><Relationship Id="rId292" Type="http://schemas.openxmlformats.org/officeDocument/2006/relationships/hyperlink" Target="http://www.sec.gov/Archives/edgar/data/1544856/000119312512264153/d343004df1a.htm" TargetMode="External"/><Relationship Id="rId293" Type="http://schemas.openxmlformats.org/officeDocument/2006/relationships/hyperlink" Target="http://www.sec.gov/Archives/edgar/data/1544856/000119312512264153/d343004df1a.htm" TargetMode="External"/><Relationship Id="rId294" Type="http://schemas.openxmlformats.org/officeDocument/2006/relationships/hyperlink" Target="http://www.sec.gov/Archives/edgar/data/1544856/000119312512264153/d343004df1a.htm" TargetMode="External"/><Relationship Id="rId295" Type="http://schemas.openxmlformats.org/officeDocument/2006/relationships/hyperlink" Target="http://www.sec.gov/Archives/edgar/data/1544856/000119312512264153/d343004df1a.htm" TargetMode="External"/><Relationship Id="rId296" Type="http://schemas.openxmlformats.org/officeDocument/2006/relationships/hyperlink" Target="http://www.sec.gov/Archives/edgar/data/1544856/000119312512264153/d343004df1a.htm" TargetMode="External"/><Relationship Id="rId40" Type="http://schemas.openxmlformats.org/officeDocument/2006/relationships/hyperlink" Target="http://www.sec.gov/Archives/edgar/data/1544856/000119312512264153/d343004df1a.htm" TargetMode="External"/><Relationship Id="rId41" Type="http://schemas.openxmlformats.org/officeDocument/2006/relationships/hyperlink" Target="http://www.sec.gov/Archives/edgar/data/1544856/000119312512264153/d343004df1a.htm" TargetMode="External"/><Relationship Id="rId42" Type="http://schemas.openxmlformats.org/officeDocument/2006/relationships/hyperlink" Target="http://www.sec.gov/Archives/edgar/data/1544856/000119312512264153/d343004df1a.htm" TargetMode="External"/><Relationship Id="rId43" Type="http://schemas.openxmlformats.org/officeDocument/2006/relationships/hyperlink" Target="http://www.sec.gov/Archives/edgar/data/1544856/000119312512264153/d343004df1a.htm" TargetMode="External"/><Relationship Id="rId44" Type="http://schemas.openxmlformats.org/officeDocument/2006/relationships/hyperlink" Target="http://www.sec.gov/Archives/edgar/data/1544856/000119312512264153/d343004df1a.htm" TargetMode="External"/><Relationship Id="rId45" Type="http://schemas.openxmlformats.org/officeDocument/2006/relationships/hyperlink" Target="http://www.sec.gov/Archives/edgar/data/1544856/000119312512264153/d343004df1a.htm" TargetMode="External"/><Relationship Id="rId46" Type="http://schemas.openxmlformats.org/officeDocument/2006/relationships/hyperlink" Target="http://www.sec.gov/Archives/edgar/data/1544856/000119312512264153/d343004df1a.htm" TargetMode="External"/><Relationship Id="rId47" Type="http://schemas.openxmlformats.org/officeDocument/2006/relationships/hyperlink" Target="http://www.sec.gov/Archives/edgar/data/1544856/000119312512264153/d343004df1a.htm" TargetMode="External"/><Relationship Id="rId48" Type="http://schemas.openxmlformats.org/officeDocument/2006/relationships/hyperlink" Target="http://www.sec.gov/Archives/edgar/data/1544856/000119312512264153/d343004df1a.htm" TargetMode="External"/><Relationship Id="rId49" Type="http://schemas.openxmlformats.org/officeDocument/2006/relationships/hyperlink" Target="http://www.sec.gov/Archives/edgar/data/1544856/000119312512264153/d343004df1a.htm" TargetMode="External"/><Relationship Id="rId297" Type="http://schemas.openxmlformats.org/officeDocument/2006/relationships/hyperlink" Target="http://www.sec.gov/Archives/edgar/data/1544856/000119312512264153/d343004df1a.htm" TargetMode="External"/><Relationship Id="rId298" Type="http://schemas.openxmlformats.org/officeDocument/2006/relationships/hyperlink" Target="http://www.sec.gov/Archives/edgar/data/1544856/000119312512264153/d343004df1a.htm" TargetMode="External"/><Relationship Id="rId299" Type="http://schemas.openxmlformats.org/officeDocument/2006/relationships/hyperlink" Target="http://www.sec.gov/Archives/edgar/data/1544856/000119312512264153/d343004df1a.htm" TargetMode="External"/><Relationship Id="rId140" Type="http://schemas.openxmlformats.org/officeDocument/2006/relationships/hyperlink" Target="http://www.sec.gov/Archives/edgar/data/1544856/000119312512264153/d343004df1a.htm" TargetMode="External"/><Relationship Id="rId141" Type="http://schemas.openxmlformats.org/officeDocument/2006/relationships/hyperlink" Target="http://www.sec.gov/Archives/edgar/data/1544856/000119312512264153/d343004df1a.htm" TargetMode="External"/><Relationship Id="rId142" Type="http://schemas.openxmlformats.org/officeDocument/2006/relationships/hyperlink" Target="http://www.sec.gov/Archives/edgar/data/1544856/000119312512264153/d343004df1a.htm" TargetMode="External"/><Relationship Id="rId143" Type="http://schemas.openxmlformats.org/officeDocument/2006/relationships/hyperlink" Target="http://www.sec.gov/Archives/edgar/data/1544856/000119312512264153/d343004df1a.htm" TargetMode="External"/><Relationship Id="rId144" Type="http://schemas.openxmlformats.org/officeDocument/2006/relationships/hyperlink" Target="http://www.sec.gov/Archives/edgar/data/1544856/000119312512264153/d343004df1a.htm" TargetMode="External"/><Relationship Id="rId145" Type="http://schemas.openxmlformats.org/officeDocument/2006/relationships/hyperlink" Target="http://www.sec.gov/Archives/edgar/data/1544856/000119312512264153/d343004df1a.htm" TargetMode="External"/><Relationship Id="rId146" Type="http://schemas.openxmlformats.org/officeDocument/2006/relationships/hyperlink" Target="http://www.sec.gov/Archives/edgar/data/1544856/000119312512264153/d343004df1a.htm" TargetMode="External"/><Relationship Id="rId147" Type="http://schemas.openxmlformats.org/officeDocument/2006/relationships/hyperlink" Target="http://www.sec.gov/Archives/edgar/data/1544856/000119312512264153/d343004df1a.htm" TargetMode="External"/><Relationship Id="rId148" Type="http://schemas.openxmlformats.org/officeDocument/2006/relationships/hyperlink" Target="http://www.sec.gov/Archives/edgar/data/1544856/000119312512264153/d343004df1a.htm" TargetMode="External"/><Relationship Id="rId149" Type="http://schemas.openxmlformats.org/officeDocument/2006/relationships/hyperlink" Target="http://www.sec.gov/Archives/edgar/data/1544856/000119312512264153/d343004df1a.htm" TargetMode="External"/><Relationship Id="rId230" Type="http://schemas.openxmlformats.org/officeDocument/2006/relationships/hyperlink" Target="http://www.sec.gov/Archives/edgar/data/1544856/000119312512264153/d343004df1a.htm" TargetMode="External"/><Relationship Id="rId231" Type="http://schemas.openxmlformats.org/officeDocument/2006/relationships/image" Target="Macintosh%20HD:Users:Go:Dropbox:Creatika%20(1):5%20Filings:Filings%20SEC:./Amendment%20No.%202%20to%20Form%20F-1_files/g343004g74r51.jpg" TargetMode="External"/><Relationship Id="rId232" Type="http://schemas.openxmlformats.org/officeDocument/2006/relationships/hyperlink" Target="http://www.sec.gov/Archives/edgar/data/1544856/000119312512264153/d343004df1a.htm" TargetMode="External"/><Relationship Id="rId233" Type="http://schemas.openxmlformats.org/officeDocument/2006/relationships/hyperlink" Target="http://www.sec.gov/Archives/edgar/data/1544856/000119312512264153/d343004df1a.htm" TargetMode="External"/><Relationship Id="rId234" Type="http://schemas.openxmlformats.org/officeDocument/2006/relationships/hyperlink" Target="http://www.sec.gov/Archives/edgar/data/1544856/000119312512264153/d343004df1a.htm" TargetMode="External"/><Relationship Id="rId235" Type="http://schemas.openxmlformats.org/officeDocument/2006/relationships/hyperlink" Target="http://www.sec.gov/Archives/edgar/data/1544856/000119312512264153/d343004df1a.htm" TargetMode="External"/><Relationship Id="rId236" Type="http://schemas.openxmlformats.org/officeDocument/2006/relationships/hyperlink" Target="http://www.sec.gov/Archives/edgar/data/1544856/000119312512264153/d343004df1a.htm" TargetMode="External"/><Relationship Id="rId237" Type="http://schemas.openxmlformats.org/officeDocument/2006/relationships/hyperlink" Target="http://www.sec.gov/Archives/edgar/data/1544856/000119312512264153/d343004df1a.htm" TargetMode="External"/><Relationship Id="rId238" Type="http://schemas.openxmlformats.org/officeDocument/2006/relationships/hyperlink" Target="http://www.sec.gov/Archives/edgar/data/1544856/000119312512264153/d343004df1a.htm" TargetMode="External"/><Relationship Id="rId239" Type="http://schemas.openxmlformats.org/officeDocument/2006/relationships/hyperlink" Target="http://www.sec.gov/Archives/edgar/data/1544856/000119312512264153/d343004df1a.htm" TargetMode="External"/><Relationship Id="rId320" Type="http://schemas.openxmlformats.org/officeDocument/2006/relationships/fontTable" Target="fontTable.xml"/><Relationship Id="rId321" Type="http://schemas.openxmlformats.org/officeDocument/2006/relationships/theme" Target="theme/theme1.xml"/><Relationship Id="rId50" Type="http://schemas.openxmlformats.org/officeDocument/2006/relationships/hyperlink" Target="http://www.sec.gov/Archives/edgar/data/1544856/000119312512264153/d343004df1a.htm" TargetMode="External"/><Relationship Id="rId51" Type="http://schemas.openxmlformats.org/officeDocument/2006/relationships/hyperlink" Target="http://www.sec.gov/Archives/edgar/data/1544856/000119312512264153/d343004df1a.htm" TargetMode="External"/><Relationship Id="rId52" Type="http://schemas.openxmlformats.org/officeDocument/2006/relationships/image" Target="Macintosh%20HD:Users:Go:Dropbox:Creatika%20(1):5%20Filings:Filings%20SEC:./Amendment%20No.%202%20to%20Form%20F-1_files/g343004g94m05.jpg" TargetMode="External"/><Relationship Id="rId53" Type="http://schemas.openxmlformats.org/officeDocument/2006/relationships/hyperlink" Target="http://www.sec.gov/Archives/edgar/data/1544856/000119312512264153/d343004df1a.htm" TargetMode="External"/><Relationship Id="rId54" Type="http://schemas.openxmlformats.org/officeDocument/2006/relationships/hyperlink" Target="http://www.sec.gov/Archives/edgar/data/1544856/000119312512264153/d343004df1a.htm" TargetMode="External"/><Relationship Id="rId55" Type="http://schemas.openxmlformats.org/officeDocument/2006/relationships/hyperlink" Target="http://www.sec.gov/Archives/edgar/data/1544856/000119312512264153/d343004df1a.htm" TargetMode="External"/><Relationship Id="rId56" Type="http://schemas.openxmlformats.org/officeDocument/2006/relationships/hyperlink" Target="http://www.sec.gov/Archives/edgar/data/1544856/000119312512264153/d343004df1a.htm" TargetMode="External"/><Relationship Id="rId57" Type="http://schemas.openxmlformats.org/officeDocument/2006/relationships/hyperlink" Target="http://www.sec.gov/Archives/edgar/data/1544856/000119312512264153/d343004df1a.htm" TargetMode="External"/><Relationship Id="rId58" Type="http://schemas.openxmlformats.org/officeDocument/2006/relationships/hyperlink" Target="http://www.sec.gov/Archives/edgar/data/1544856/000119312512264153/d343004df1a.htm" TargetMode="External"/><Relationship Id="rId59" Type="http://schemas.openxmlformats.org/officeDocument/2006/relationships/hyperlink" Target="http://www.sec.gov/Archives/edgar/data/1544856/000119312512264153/d343004df1a.htm" TargetMode="External"/><Relationship Id="rId150" Type="http://schemas.openxmlformats.org/officeDocument/2006/relationships/hyperlink" Target="http://www.sec.gov/Archives/edgar/data/1544856/000119312512264153/d343004df1a.htm" TargetMode="External"/><Relationship Id="rId151" Type="http://schemas.openxmlformats.org/officeDocument/2006/relationships/hyperlink" Target="http://www.sec.gov/Archives/edgar/data/1544856/000119312512264153/d343004df1a.htm" TargetMode="External"/><Relationship Id="rId152" Type="http://schemas.openxmlformats.org/officeDocument/2006/relationships/hyperlink" Target="http://www.sec.gov/Archives/edgar/data/1544856/000119312512264153/d343004df1a.htm" TargetMode="External"/><Relationship Id="rId153" Type="http://schemas.openxmlformats.org/officeDocument/2006/relationships/hyperlink" Target="http://www.sec.gov/Archives/edgar/data/1544856/000119312512264153/d343004df1a.htm" TargetMode="External"/><Relationship Id="rId154" Type="http://schemas.openxmlformats.org/officeDocument/2006/relationships/hyperlink" Target="http://www.sec.gov/Archives/edgar/data/1544856/000119312512264153/d343004df1a.htm" TargetMode="External"/><Relationship Id="rId155" Type="http://schemas.openxmlformats.org/officeDocument/2006/relationships/hyperlink" Target="http://www.sec.gov/Archives/edgar/data/1544856/000119312512264153/d343004df1a.htm" TargetMode="External"/><Relationship Id="rId156" Type="http://schemas.openxmlformats.org/officeDocument/2006/relationships/hyperlink" Target="http://www.sec.gov/Archives/edgar/data/1544856/000119312512264153/d343004df1a.htm" TargetMode="External"/><Relationship Id="rId157" Type="http://schemas.openxmlformats.org/officeDocument/2006/relationships/hyperlink" Target="http://www.sec.gov/Archives/edgar/data/1544856/000119312512264153/d343004df1a.htm" TargetMode="External"/><Relationship Id="rId158" Type="http://schemas.openxmlformats.org/officeDocument/2006/relationships/hyperlink" Target="http://www.sec.gov/Archives/edgar/data/1544856/000119312512264153/d343004df1a.htm" TargetMode="External"/><Relationship Id="rId159" Type="http://schemas.openxmlformats.org/officeDocument/2006/relationships/hyperlink" Target="http://www.sec.gov/Archives/edgar/data/1544856/000119312512264153/d343004df1a.htm" TargetMode="External"/><Relationship Id="rId240" Type="http://schemas.openxmlformats.org/officeDocument/2006/relationships/hyperlink" Target="http://www.sec.gov/Archives/edgar/data/1544856/000119312512264153/d343004df1a.htm" TargetMode="External"/><Relationship Id="rId241" Type="http://schemas.openxmlformats.org/officeDocument/2006/relationships/hyperlink" Target="http://www.sec.gov/Archives/edgar/data/1544856/000119312512264153/d343004df1a.htm" TargetMode="External"/><Relationship Id="rId242" Type="http://schemas.openxmlformats.org/officeDocument/2006/relationships/hyperlink" Target="http://www.sec.gov/Archives/edgar/data/1544856/000119312512264153/d343004df1a.htm" TargetMode="External"/><Relationship Id="rId243" Type="http://schemas.openxmlformats.org/officeDocument/2006/relationships/hyperlink" Target="http://www.sec.gov/Archives/edgar/data/1544856/000119312512264153/d343004df1a.htm" TargetMode="External"/><Relationship Id="rId244" Type="http://schemas.openxmlformats.org/officeDocument/2006/relationships/hyperlink" Target="http://www.sec.gov/Archives/edgar/data/1544856/000119312512264153/d343004df1a.htm" TargetMode="External"/><Relationship Id="rId245" Type="http://schemas.openxmlformats.org/officeDocument/2006/relationships/hyperlink" Target="http://www.sec.gov/Archives/edgar/data/1544856/000119312512264153/d343004df1a.htm" TargetMode="External"/><Relationship Id="rId246" Type="http://schemas.openxmlformats.org/officeDocument/2006/relationships/hyperlink" Target="http://www.sec.gov/Archives/edgar/data/1544856/000119312512264153/d343004df1a.htm" TargetMode="External"/><Relationship Id="rId247" Type="http://schemas.openxmlformats.org/officeDocument/2006/relationships/hyperlink" Target="http://www.sec.gov/Archives/edgar/data/1544856/000119312512264153/d343004df1a.htm" TargetMode="External"/><Relationship Id="rId248" Type="http://schemas.openxmlformats.org/officeDocument/2006/relationships/hyperlink" Target="http://www.sec.gov/Archives/edgar/data/1544856/000119312512264153/d343004df1a.htm" TargetMode="External"/><Relationship Id="rId249" Type="http://schemas.openxmlformats.org/officeDocument/2006/relationships/hyperlink" Target="http://www.sec.gov/Archives/edgar/data/1544856/000119312512264153/d343004df1a.htm" TargetMode="External"/><Relationship Id="rId60" Type="http://schemas.openxmlformats.org/officeDocument/2006/relationships/hyperlink" Target="http://www.sec.gov/Archives/edgar/data/1544856/000119312512264153/d343004df1a.htm" TargetMode="External"/><Relationship Id="rId61" Type="http://schemas.openxmlformats.org/officeDocument/2006/relationships/hyperlink" Target="http://www.sec.gov/Archives/edgar/data/1544856/000119312512264153/d343004df1a.htm" TargetMode="External"/><Relationship Id="rId62" Type="http://schemas.openxmlformats.org/officeDocument/2006/relationships/hyperlink" Target="http://www.sec.gov/Archives/edgar/data/1544856/000119312512264153/d343004df1a.htm" TargetMode="External"/><Relationship Id="rId63" Type="http://schemas.openxmlformats.org/officeDocument/2006/relationships/hyperlink" Target="http://www.sec.gov/Archives/edgar/data/1544856/000119312512264153/d343004df1a.htm" TargetMode="External"/><Relationship Id="rId64" Type="http://schemas.openxmlformats.org/officeDocument/2006/relationships/hyperlink" Target="http://www.sec.gov/Archives/edgar/data/1544856/000119312512264153/d343004df1a.htm" TargetMode="External"/><Relationship Id="rId65" Type="http://schemas.openxmlformats.org/officeDocument/2006/relationships/hyperlink" Target="http://www.sec.gov/Archives/edgar/data/1544856/000119312512264153/d343004df1a.htm" TargetMode="External"/><Relationship Id="rId66" Type="http://schemas.openxmlformats.org/officeDocument/2006/relationships/hyperlink" Target="http://www.sec.gov/Archives/edgar/data/1544856/000119312512264153/d343004df1a.htm" TargetMode="External"/><Relationship Id="rId67" Type="http://schemas.openxmlformats.org/officeDocument/2006/relationships/hyperlink" Target="http://www.sec.gov/Archives/edgar/data/1544856/000119312512264153/d343004df1a.htm" TargetMode="External"/><Relationship Id="rId68" Type="http://schemas.openxmlformats.org/officeDocument/2006/relationships/hyperlink" Target="http://www.sec.gov/Archives/edgar/data/1544856/000119312512264153/d343004df1a.htm" TargetMode="External"/><Relationship Id="rId69" Type="http://schemas.openxmlformats.org/officeDocument/2006/relationships/hyperlink" Target="http://www.sec.gov/Archives/edgar/data/1544856/000119312512264153/d343004df1a.htm" TargetMode="External"/><Relationship Id="rId160" Type="http://schemas.openxmlformats.org/officeDocument/2006/relationships/hyperlink" Target="http://www.sec.gov/Archives/edgar/data/1544856/000119312512264153/d343004df1a.htm" TargetMode="External"/><Relationship Id="rId161" Type="http://schemas.openxmlformats.org/officeDocument/2006/relationships/hyperlink" Target="http://www.sec.gov/Archives/edgar/data/1544856/000119312512264153/d343004df1a.htm" TargetMode="External"/><Relationship Id="rId162" Type="http://schemas.openxmlformats.org/officeDocument/2006/relationships/hyperlink" Target="http://www.sec.gov/Archives/edgar/data/1544856/000119312512264153/d343004df1a.htm" TargetMode="External"/><Relationship Id="rId163" Type="http://schemas.openxmlformats.org/officeDocument/2006/relationships/hyperlink" Target="http://www.sec.gov/Archives/edgar/data/1544856/000119312512264153/d343004df1a.htm" TargetMode="External"/><Relationship Id="rId164" Type="http://schemas.openxmlformats.org/officeDocument/2006/relationships/hyperlink" Target="http://www.sec.gov/Archives/edgar/data/1544856/000119312512264153/d343004df1a.htm" TargetMode="External"/><Relationship Id="rId165" Type="http://schemas.openxmlformats.org/officeDocument/2006/relationships/hyperlink" Target="http://www.sec.gov/Archives/edgar/data/1544856/000119312512264153/d343004df1a.htm" TargetMode="External"/><Relationship Id="rId166" Type="http://schemas.openxmlformats.org/officeDocument/2006/relationships/hyperlink" Target="http://www.sec.gov/Archives/edgar/data/1544856/000119312512264153/d343004df1a.htm" TargetMode="External"/><Relationship Id="rId167" Type="http://schemas.openxmlformats.org/officeDocument/2006/relationships/hyperlink" Target="http://www.sec.gov/Archives/edgar/data/1544856/000119312512264153/d343004df1a.htm" TargetMode="External"/><Relationship Id="rId168" Type="http://schemas.openxmlformats.org/officeDocument/2006/relationships/hyperlink" Target="http://www.sec.gov/Archives/edgar/data/1544856/000119312512264153/d343004df1a.htm" TargetMode="External"/><Relationship Id="rId169" Type="http://schemas.openxmlformats.org/officeDocument/2006/relationships/hyperlink" Target="http://www.sec.gov/Archives/edgar/data/1544856/000119312512264153/d343004df1a.htm" TargetMode="External"/><Relationship Id="rId250" Type="http://schemas.openxmlformats.org/officeDocument/2006/relationships/hyperlink" Target="http://www.sec.gov/Archives/edgar/data/1544856/000119312512264153/d343004df1a.htm" TargetMode="External"/><Relationship Id="rId251" Type="http://schemas.openxmlformats.org/officeDocument/2006/relationships/hyperlink" Target="http://www.sec.gov/Archives/edgar/data/1544856/000119312512264153/d343004df1a.htm" TargetMode="External"/><Relationship Id="rId252" Type="http://schemas.openxmlformats.org/officeDocument/2006/relationships/hyperlink" Target="http://www.sec.gov/Archives/edgar/data/1544856/000119312512264153/d343004df1a.htm" TargetMode="External"/><Relationship Id="rId253" Type="http://schemas.openxmlformats.org/officeDocument/2006/relationships/hyperlink" Target="http://www.sec.gov/Archives/edgar/data/1544856/000119312512264153/d343004df1a.htm" TargetMode="External"/><Relationship Id="rId254" Type="http://schemas.openxmlformats.org/officeDocument/2006/relationships/hyperlink" Target="http://www.sec.gov/Archives/edgar/data/1544856/000119312512264153/d343004df1a.htm" TargetMode="External"/><Relationship Id="rId255" Type="http://schemas.openxmlformats.org/officeDocument/2006/relationships/hyperlink" Target="http://www.sec.gov/Archives/edgar/data/1544856/000119312512264153/d343004df1a.htm" TargetMode="External"/><Relationship Id="rId256" Type="http://schemas.openxmlformats.org/officeDocument/2006/relationships/hyperlink" Target="http://www.sec.gov/Archives/edgar/data/1544856/000119312512264153/d343004df1a.htm" TargetMode="External"/><Relationship Id="rId257" Type="http://schemas.openxmlformats.org/officeDocument/2006/relationships/hyperlink" Target="http://www.sec.gov/Archives/edgar/data/1544856/000119312512264153/d343004df1a.htm" TargetMode="External"/><Relationship Id="rId258" Type="http://schemas.openxmlformats.org/officeDocument/2006/relationships/hyperlink" Target="http://www.sec.gov/Archives/edgar/data/1544856/000119312512264153/d343004df1a.htm" TargetMode="External"/><Relationship Id="rId259" Type="http://schemas.openxmlformats.org/officeDocument/2006/relationships/hyperlink" Target="http://www.sec.gov/Archives/edgar/data/1544856/000119312512264153/d343004df1a.htm" TargetMode="External"/><Relationship Id="rId100" Type="http://schemas.openxmlformats.org/officeDocument/2006/relationships/hyperlink" Target="http://www.sec.gov/Archives/edgar/data/1544856/000119312512264153/d343004df1a.htm" TargetMode="External"/><Relationship Id="rId101" Type="http://schemas.openxmlformats.org/officeDocument/2006/relationships/hyperlink" Target="http://www.sec.gov/Archives/edgar/data/1544856/000119312512264153/d343004df1a.htm" TargetMode="External"/><Relationship Id="rId102" Type="http://schemas.openxmlformats.org/officeDocument/2006/relationships/hyperlink" Target="http://www.sec.gov/Archives/edgar/data/1544856/000119312512264153/d343004df1a.htm" TargetMode="External"/><Relationship Id="rId103" Type="http://schemas.openxmlformats.org/officeDocument/2006/relationships/hyperlink" Target="http://www.sec.gov/Archives/edgar/data/1544856/000119312512264153/d343004df1a.htm" TargetMode="External"/><Relationship Id="rId104" Type="http://schemas.openxmlformats.org/officeDocument/2006/relationships/hyperlink" Target="http://www.sec.gov/Archives/edgar/data/1544856/000119312512264153/d343004df1a.htm" TargetMode="External"/><Relationship Id="rId105" Type="http://schemas.openxmlformats.org/officeDocument/2006/relationships/hyperlink" Target="http://www.sec.gov/Archives/edgar/data/1544856/000119312512264153/d343004df1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136316</Words>
  <Characters>777004</Characters>
  <Application>Microsoft Macintosh Word</Application>
  <DocSecurity>0</DocSecurity>
  <Lines>6475</Lines>
  <Paragraphs>1822</Paragraphs>
  <ScaleCrop>false</ScaleCrop>
  <Company/>
  <LinksUpToDate>false</LinksUpToDate>
  <CharactersWithSpaces>911498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No. 2 to Form F-1</dc:title>
  <dc:subject/>
  <dc:creator>Pablo Orellana</dc:creator>
  <cp:keywords/>
  <dc:description/>
  <cp:lastModifiedBy>Pablo Orellana</cp:lastModifiedBy>
  <cp:revision>2</cp:revision>
  <dcterms:created xsi:type="dcterms:W3CDTF">2013-03-11T23:20:00Z</dcterms:created>
  <dcterms:modified xsi:type="dcterms:W3CDTF">2013-03-11T23:20:00Z</dcterms:modified>
</cp:coreProperties>
</file>