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9B9023" w14:textId="7C336402" w:rsidR="00637167" w:rsidRDefault="00637167" w:rsidP="00397BC6">
      <w:pPr>
        <w:pStyle w:val="Logo"/>
        <w:spacing w:after="0" w:line="240" w:lineRule="auto"/>
        <w:jc w:val="left"/>
      </w:pPr>
    </w:p>
    <w:p w14:paraId="42539C07" w14:textId="77777777" w:rsidR="000345E4" w:rsidRDefault="00202DD5" w:rsidP="00397BC6">
      <w:pPr>
        <w:pStyle w:val="Title"/>
        <w:spacing w:before="0" w:line="240" w:lineRule="auto"/>
        <w:jc w:val="left"/>
        <w:rPr>
          <w:color w:val="000000" w:themeColor="text1"/>
          <w:sz w:val="18"/>
        </w:rPr>
      </w:pPr>
      <w:r>
        <w:rPr>
          <w:noProof/>
          <w:color w:val="000000" w:themeColor="text1"/>
          <w:sz w:val="18"/>
          <w:lang w:eastAsia="en-US"/>
        </w:rPr>
        <w:drawing>
          <wp:inline distT="0" distB="0" distL="0" distR="0" wp14:anchorId="57D9DBD1" wp14:editId="50787B29">
            <wp:extent cx="3923007" cy="39052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logo-notag-PMS Centered.png"/>
                    <pic:cNvPicPr/>
                  </pic:nvPicPr>
                  <pic:blipFill>
                    <a:blip r:embed="rId10"/>
                    <a:stretch>
                      <a:fillRect/>
                    </a:stretch>
                  </pic:blipFill>
                  <pic:spPr>
                    <a:xfrm>
                      <a:off x="0" y="0"/>
                      <a:ext cx="3937427" cy="391960"/>
                    </a:xfrm>
                    <a:prstGeom prst="rect">
                      <a:avLst/>
                    </a:prstGeom>
                  </pic:spPr>
                </pic:pic>
              </a:graphicData>
            </a:graphic>
          </wp:inline>
        </w:drawing>
      </w:r>
      <w:r w:rsidR="000345E4">
        <w:rPr>
          <w:color w:val="000000" w:themeColor="text1"/>
          <w:sz w:val="18"/>
        </w:rPr>
        <w:t xml:space="preserve">  </w:t>
      </w:r>
    </w:p>
    <w:p w14:paraId="32906D40" w14:textId="2D6A983D" w:rsidR="000345E4" w:rsidRPr="000345E4" w:rsidRDefault="000345E4" w:rsidP="00397BC6">
      <w:pPr>
        <w:pStyle w:val="Title"/>
        <w:spacing w:before="0" w:line="240" w:lineRule="auto"/>
        <w:jc w:val="left"/>
        <w:rPr>
          <w:color w:val="000000" w:themeColor="text1"/>
          <w:sz w:val="18"/>
        </w:rPr>
      </w:pPr>
      <w:r>
        <w:rPr>
          <w:color w:val="000000" w:themeColor="text1"/>
          <w:sz w:val="18"/>
        </w:rPr>
        <w:tab/>
      </w:r>
    </w:p>
    <w:p w14:paraId="5A7E8280" w14:textId="4138EA81" w:rsidR="00852E3E" w:rsidRPr="00BA7FC6" w:rsidRDefault="005908E1" w:rsidP="00397BC6">
      <w:pPr>
        <w:pStyle w:val="Heading1"/>
        <w:pBdr>
          <w:top w:val="single" w:sz="4" w:space="1" w:color="auto"/>
        </w:pBdr>
        <w:spacing w:before="100" w:beforeAutospacing="1"/>
        <w:jc w:val="left"/>
        <w:rPr>
          <w:rFonts w:ascii="Helvetica" w:hAnsi="Helvetica" w:cs="Helvetica"/>
          <w:color w:val="404040" w:themeColor="text1" w:themeTint="BF"/>
          <w:sz w:val="48"/>
          <w:szCs w:val="48"/>
        </w:rPr>
      </w:pPr>
      <w:r w:rsidRPr="00BA7FC6">
        <w:rPr>
          <w:rFonts w:ascii="Helvetica" w:hAnsi="Helvetica" w:cs="Helvetica"/>
          <w:color w:val="404040" w:themeColor="text1" w:themeTint="BF"/>
          <w:sz w:val="48"/>
          <w:szCs w:val="48"/>
        </w:rPr>
        <w:t>PRESS RELEASE</w:t>
      </w:r>
    </w:p>
    <w:p w14:paraId="4CFAC365" w14:textId="77777777" w:rsidR="00564FE6" w:rsidRPr="007836C1" w:rsidRDefault="00564FE6" w:rsidP="00564FE6">
      <w:pPr>
        <w:pStyle w:val="Heading3"/>
        <w:jc w:val="left"/>
        <w:rPr>
          <w:rFonts w:ascii="Helvetica" w:hAnsi="Helvetica" w:cs="Helvetica"/>
          <w:color w:val="73C167"/>
        </w:rPr>
      </w:pPr>
    </w:p>
    <w:p w14:paraId="7B1B6D3D" w14:textId="47F2E476" w:rsidR="00FC7180" w:rsidRPr="00D65D64" w:rsidRDefault="000C0F59" w:rsidP="00D65D64">
      <w:pPr>
        <w:spacing w:line="240" w:lineRule="auto"/>
        <w:jc w:val="center"/>
        <w:rPr>
          <w:rFonts w:ascii="Helvetica" w:hAnsi="Helvetica" w:cs="Helvetica"/>
          <w:i/>
          <w:color w:val="262626" w:themeColor="text1" w:themeTint="D9"/>
          <w:sz w:val="6"/>
          <w:szCs w:val="6"/>
        </w:rPr>
      </w:pPr>
      <w:r w:rsidRPr="000C0F59">
        <w:rPr>
          <w:rFonts w:ascii="Helvetica" w:eastAsiaTheme="majorEastAsia" w:hAnsi="Helvetica" w:cs="Helvetica"/>
          <w:color w:val="73C167"/>
          <w:sz w:val="32"/>
          <w:szCs w:val="32"/>
        </w:rPr>
        <w:t xml:space="preserve">Merchants Capital Surpasses $1.08 Billion in Tax Credit Equity Raised in 2024 </w:t>
      </w:r>
    </w:p>
    <w:p w14:paraId="7B5E6BA2" w14:textId="6CDC0ECC" w:rsidR="00FC7180" w:rsidRDefault="00FC7180" w:rsidP="00FC7180">
      <w:pPr>
        <w:spacing w:line="360" w:lineRule="auto"/>
        <w:jc w:val="both"/>
        <w:rPr>
          <w:rFonts w:ascii="Calibri" w:eastAsia="Calibri" w:hAnsi="Calibri" w:cs="Calibri"/>
        </w:rPr>
      </w:pPr>
      <w:r>
        <w:rPr>
          <w:rFonts w:ascii="Calibri" w:eastAsia="Calibri" w:hAnsi="Calibri" w:cs="Calibri"/>
          <w:b/>
        </w:rPr>
        <w:t>CARMEL, Ind. (Jan. 28, 2025)—</w:t>
      </w:r>
      <w:r w:rsidR="00E31331" w:rsidRPr="00E31331">
        <w:rPr>
          <w:rFonts w:ascii="Calibri" w:eastAsia="Calibri" w:hAnsi="Calibri" w:cs="Calibri"/>
          <w:bCs/>
          <w:lang w:val="en"/>
        </w:rPr>
        <w:t xml:space="preserve">(Nasdaq: MBIN) </w:t>
      </w:r>
      <w:hyperlink r:id="rId11">
        <w:r>
          <w:rPr>
            <w:rFonts w:ascii="Calibri" w:eastAsia="Calibri" w:hAnsi="Calibri" w:cs="Calibri"/>
            <w:color w:val="73C167"/>
          </w:rPr>
          <w:t>Merchants Capital</w:t>
        </w:r>
      </w:hyperlink>
      <w:r w:rsidR="00C01726">
        <w:rPr>
          <w:rFonts w:ascii="Calibri" w:eastAsia="Calibri" w:hAnsi="Calibri" w:cs="Calibri"/>
        </w:rPr>
        <w:t xml:space="preserve"> </w:t>
      </w:r>
      <w:r>
        <w:rPr>
          <w:rFonts w:ascii="Calibri" w:eastAsia="Calibri" w:hAnsi="Calibri" w:cs="Calibri"/>
        </w:rPr>
        <w:t xml:space="preserve">today announced $1.08 billion in fund investments closed across the firm’s multi-investor, proprietary and state credit offerings for the year ended Dec. 31, 2024. </w:t>
      </w:r>
    </w:p>
    <w:p w14:paraId="658CECB1" w14:textId="38D8EABE" w:rsidR="00FC7180" w:rsidRDefault="00FC7180" w:rsidP="00FC7180">
      <w:pPr>
        <w:spacing w:line="360" w:lineRule="auto"/>
        <w:jc w:val="both"/>
        <w:rPr>
          <w:rFonts w:ascii="Calibri" w:eastAsia="Calibri" w:hAnsi="Calibri" w:cs="Calibri"/>
        </w:rPr>
      </w:pPr>
      <w:r w:rsidRPr="00B64D4B">
        <w:rPr>
          <w:rFonts w:ascii="Calibri" w:eastAsia="Calibri" w:hAnsi="Calibri" w:cs="Calibri"/>
        </w:rPr>
        <w:t>The firm’s capital raise, which has surpassed $2.1 billion since the platform launched in 2021, comprises $</w:t>
      </w:r>
      <w:r>
        <w:rPr>
          <w:rFonts w:ascii="Calibri" w:eastAsia="Calibri" w:hAnsi="Calibri" w:cs="Calibri"/>
        </w:rPr>
        <w:t>900</w:t>
      </w:r>
      <w:r w:rsidRPr="00370A1C">
        <w:rPr>
          <w:rFonts w:ascii="Calibri" w:eastAsia="Calibri" w:hAnsi="Calibri" w:cs="Calibri"/>
        </w:rPr>
        <w:t xml:space="preserve"> </w:t>
      </w:r>
      <w:r w:rsidRPr="00B64D4B">
        <w:rPr>
          <w:rFonts w:ascii="Calibri" w:eastAsia="Calibri" w:hAnsi="Calibri" w:cs="Calibri"/>
        </w:rPr>
        <w:t>million in multi-investor offerings, $</w:t>
      </w:r>
      <w:r>
        <w:rPr>
          <w:rFonts w:ascii="Calibri" w:eastAsia="Calibri" w:hAnsi="Calibri" w:cs="Calibri"/>
        </w:rPr>
        <w:t>68.8</w:t>
      </w:r>
      <w:r w:rsidRPr="00370A1C">
        <w:rPr>
          <w:rFonts w:ascii="Calibri" w:eastAsia="Calibri" w:hAnsi="Calibri" w:cs="Calibri"/>
        </w:rPr>
        <w:t xml:space="preserve"> </w:t>
      </w:r>
      <w:r w:rsidRPr="00B64D4B">
        <w:rPr>
          <w:rFonts w:ascii="Calibri" w:eastAsia="Calibri" w:hAnsi="Calibri" w:cs="Calibri"/>
        </w:rPr>
        <w:t>million in state credit syndications and $</w:t>
      </w:r>
      <w:r>
        <w:rPr>
          <w:rFonts w:ascii="Calibri" w:eastAsia="Calibri" w:hAnsi="Calibri" w:cs="Calibri"/>
        </w:rPr>
        <w:t>1.1 billion</w:t>
      </w:r>
      <w:r w:rsidRPr="00B64D4B">
        <w:rPr>
          <w:rFonts w:ascii="Calibri" w:eastAsia="Calibri" w:hAnsi="Calibri" w:cs="Calibri"/>
        </w:rPr>
        <w:t xml:space="preserve"> in proprietary fund investments.</w:t>
      </w:r>
      <w:r>
        <w:rPr>
          <w:rFonts w:ascii="Calibri" w:eastAsia="Calibri" w:hAnsi="Calibri" w:cs="Calibri"/>
        </w:rPr>
        <w:t xml:space="preserve"> </w:t>
      </w:r>
    </w:p>
    <w:p w14:paraId="4AE79CBE" w14:textId="77777777" w:rsidR="00FC7180" w:rsidRDefault="00FC7180" w:rsidP="00FC7180">
      <w:pPr>
        <w:spacing w:line="360" w:lineRule="auto"/>
        <w:jc w:val="both"/>
        <w:rPr>
          <w:rFonts w:ascii="Calibri" w:eastAsia="Calibri" w:hAnsi="Calibri" w:cs="Calibri"/>
        </w:rPr>
      </w:pPr>
      <w:r>
        <w:rPr>
          <w:rFonts w:ascii="Calibri" w:eastAsia="Calibri" w:hAnsi="Calibri" w:cs="Calibri"/>
        </w:rPr>
        <w:t>In January 2025, the firm closed Merchants Capital Tax Credit Equity Fund 21, LLC, a $131.2 million multi-investor fund with eight bank investors. In September 2024, the firm closed Merchants Capital Tax Credit Equity Fund 19, L.P., its largest ever fund capital raise at $293 million with a large institutional investor.</w:t>
      </w:r>
    </w:p>
    <w:p w14:paraId="74A4B63F" w14:textId="77777777" w:rsidR="00A30DC5" w:rsidRDefault="00A30DC5" w:rsidP="00FC7180">
      <w:pPr>
        <w:spacing w:line="360" w:lineRule="auto"/>
        <w:jc w:val="both"/>
        <w:rPr>
          <w:rFonts w:ascii="Calibri" w:eastAsia="Calibri" w:hAnsi="Calibri" w:cs="Calibri"/>
        </w:rPr>
      </w:pPr>
      <w:r>
        <w:rPr>
          <w:rFonts w:ascii="Calibri" w:eastAsia="Calibri" w:hAnsi="Calibri" w:cs="Calibri"/>
        </w:rPr>
        <w:t xml:space="preserve">“Successfully raising $1.08 billion in tax credit equity in one year is a remarkable achievement,” said Julie Sharp, Executive Vice President at Merchants Capital. “In only four years, we have built a $2.1 billion investment portfolio managed on behalf of more than 40 institutional investors that provides capital for the construction and preservation of safe, quality affordable housing for more than 19,000 families in 26 states.” </w:t>
      </w:r>
    </w:p>
    <w:p w14:paraId="5937DD99" w14:textId="77777777" w:rsidR="000B0F60" w:rsidRDefault="000B0F60" w:rsidP="00FC7180">
      <w:pPr>
        <w:spacing w:line="360" w:lineRule="auto"/>
        <w:jc w:val="both"/>
        <w:rPr>
          <w:rFonts w:ascii="Calibri" w:eastAsia="Calibri" w:hAnsi="Calibri" w:cs="Calibri"/>
        </w:rPr>
      </w:pPr>
      <w:r>
        <w:rPr>
          <w:rFonts w:ascii="Calibri" w:eastAsia="Calibri" w:hAnsi="Calibri" w:cs="Calibri"/>
        </w:rPr>
        <w:t xml:space="preserve">“Our success is a testament to our team, the support of our investor and developer partners and the innovative platform we have built across all business lines at Merchants Capital,” said Linda Hill, Executive Vice President at Merchants Capital. </w:t>
      </w:r>
    </w:p>
    <w:p w14:paraId="42CB663F" w14:textId="77777777" w:rsidR="001B34F8" w:rsidRDefault="001B34F8" w:rsidP="00FC7180">
      <w:pPr>
        <w:spacing w:line="360" w:lineRule="auto"/>
        <w:jc w:val="both"/>
        <w:rPr>
          <w:rFonts w:ascii="Calibri" w:eastAsia="Calibri" w:hAnsi="Calibri" w:cs="Calibri"/>
        </w:rPr>
      </w:pPr>
      <w:r>
        <w:rPr>
          <w:rFonts w:ascii="Calibri" w:eastAsia="Calibri" w:hAnsi="Calibri" w:cs="Calibri"/>
        </w:rPr>
        <w:t>“It has been extremely rewarding to build out an equity originations platform in a firm that offers industry-leading debt products and balance sheet solutions for affordable housing developers,” said Josh Reed, Executive Vice President of Acquisitions at Merchants Capital. “We are grateful to our developer and investor partners, who make our success possible.”</w:t>
      </w:r>
    </w:p>
    <w:p w14:paraId="76C72A3A" w14:textId="77777777" w:rsidR="0020796D" w:rsidRDefault="0020796D" w:rsidP="00FC7180">
      <w:pPr>
        <w:spacing w:line="360" w:lineRule="auto"/>
        <w:jc w:val="both"/>
        <w:rPr>
          <w:rFonts w:ascii="Calibri" w:eastAsia="Calibri" w:hAnsi="Calibri" w:cs="Calibri"/>
        </w:rPr>
      </w:pPr>
      <w:r>
        <w:rPr>
          <w:rFonts w:ascii="Calibri" w:eastAsia="Calibri" w:hAnsi="Calibri" w:cs="Calibri"/>
        </w:rPr>
        <w:lastRenderedPageBreak/>
        <w:t>“Our remarkable production results reflect strongly on the capabilities and investments we have made in our asset, fund and risk management team of professionals, who are steadfast in their dedication to our investor and developer partners,” said Chris Messmann, Executive Vice President of Syndications and Tax at Merchants Capital.</w:t>
      </w:r>
    </w:p>
    <w:p w14:paraId="0AAE5DE7" w14:textId="77777777" w:rsidR="00857EE8" w:rsidRDefault="00857EE8" w:rsidP="00857EE8">
      <w:pPr>
        <w:spacing w:line="360" w:lineRule="auto"/>
        <w:rPr>
          <w:rFonts w:ascii="Calibri" w:eastAsia="Calibri" w:hAnsi="Calibri" w:cs="Calibri"/>
        </w:rPr>
      </w:pPr>
      <w:r>
        <w:rPr>
          <w:rFonts w:ascii="Calibri" w:eastAsia="Calibri" w:hAnsi="Calibri" w:cs="Calibri"/>
        </w:rPr>
        <w:t xml:space="preserve">To learn more about Merchants Capital and its services, visit </w:t>
      </w:r>
      <w:hyperlink r:id="rId12">
        <w:r>
          <w:rPr>
            <w:rFonts w:ascii="Calibri" w:eastAsia="Calibri" w:hAnsi="Calibri" w:cs="Calibri"/>
            <w:color w:val="73C167"/>
          </w:rPr>
          <w:t>www.merchantscapital.com</w:t>
        </w:r>
      </w:hyperlink>
      <w:r>
        <w:rPr>
          <w:rFonts w:ascii="Calibri" w:eastAsia="Calibri" w:hAnsi="Calibri" w:cs="Calibri"/>
        </w:rPr>
        <w:t xml:space="preserve"> or find Merchants Capital on</w:t>
      </w:r>
      <w:hyperlink r:id="rId13">
        <w:r>
          <w:rPr>
            <w:rFonts w:ascii="Calibri" w:eastAsia="Calibri" w:hAnsi="Calibri" w:cs="Calibri"/>
            <w:color w:val="73C167"/>
          </w:rPr>
          <w:t xml:space="preserve"> Facebook</w:t>
        </w:r>
      </w:hyperlink>
      <w:r>
        <w:rPr>
          <w:rFonts w:ascii="Calibri" w:eastAsia="Calibri" w:hAnsi="Calibri" w:cs="Calibri"/>
        </w:rPr>
        <w:t>,</w:t>
      </w:r>
      <w:hyperlink r:id="rId14">
        <w:r>
          <w:rPr>
            <w:rFonts w:ascii="Calibri" w:eastAsia="Calibri" w:hAnsi="Calibri" w:cs="Calibri"/>
            <w:color w:val="73C167"/>
          </w:rPr>
          <w:t xml:space="preserve"> </w:t>
        </w:r>
        <w:hyperlink r:id="rId15">
          <w:r>
            <w:rPr>
              <w:rFonts w:ascii="Calibri" w:eastAsia="Calibri" w:hAnsi="Calibri" w:cs="Calibri"/>
              <w:color w:val="73C167"/>
            </w:rPr>
            <w:t>X</w:t>
          </w:r>
        </w:hyperlink>
      </w:hyperlink>
      <w:r>
        <w:rPr>
          <w:rFonts w:ascii="Calibri" w:eastAsia="Calibri" w:hAnsi="Calibri" w:cs="Calibri"/>
        </w:rPr>
        <w:t>,</w:t>
      </w:r>
      <w:hyperlink r:id="rId16">
        <w:r>
          <w:rPr>
            <w:rFonts w:ascii="Calibri" w:eastAsia="Calibri" w:hAnsi="Calibri" w:cs="Calibri"/>
            <w:color w:val="73C167"/>
          </w:rPr>
          <w:t xml:space="preserve"> LinkedIn</w:t>
        </w:r>
      </w:hyperlink>
      <w:r>
        <w:rPr>
          <w:rFonts w:ascii="Calibri" w:eastAsia="Calibri" w:hAnsi="Calibri" w:cs="Calibri"/>
          <w:color w:val="73C167"/>
        </w:rPr>
        <w:t xml:space="preserve"> </w:t>
      </w:r>
      <w:r>
        <w:rPr>
          <w:rFonts w:ascii="Calibri" w:eastAsia="Calibri" w:hAnsi="Calibri" w:cs="Calibri"/>
        </w:rPr>
        <w:t xml:space="preserve">and </w:t>
      </w:r>
      <w:hyperlink r:id="rId17">
        <w:r>
          <w:rPr>
            <w:rFonts w:ascii="Calibri" w:eastAsia="Calibri" w:hAnsi="Calibri" w:cs="Calibri"/>
            <w:color w:val="73C167"/>
          </w:rPr>
          <w:t>Instagram</w:t>
        </w:r>
      </w:hyperlink>
      <w:r>
        <w:rPr>
          <w:rFonts w:ascii="Calibri" w:eastAsia="Calibri" w:hAnsi="Calibri" w:cs="Calibri"/>
        </w:rPr>
        <w:t>.</w:t>
      </w:r>
    </w:p>
    <w:p w14:paraId="09669A39" w14:textId="77777777" w:rsidR="00592220" w:rsidRDefault="00592220" w:rsidP="00592220">
      <w:pPr>
        <w:jc w:val="both"/>
        <w:rPr>
          <w:rFonts w:ascii="Calibri" w:eastAsia="Calibri" w:hAnsi="Calibri" w:cs="Calibri"/>
          <w:b/>
        </w:rPr>
      </w:pPr>
      <w:r>
        <w:rPr>
          <w:rFonts w:ascii="Calibri" w:eastAsia="Calibri" w:hAnsi="Calibri" w:cs="Calibri"/>
          <w:b/>
        </w:rPr>
        <w:t>ABOUT MERCHANTS CAPITAL</w:t>
      </w:r>
    </w:p>
    <w:p w14:paraId="2115032E" w14:textId="6F6CBF70" w:rsidR="00592220" w:rsidRDefault="00592220" w:rsidP="00592220">
      <w:pPr>
        <w:jc w:val="both"/>
        <w:rPr>
          <w:rFonts w:ascii="Calibri" w:eastAsia="Calibri" w:hAnsi="Calibri" w:cs="Calibri"/>
          <w:color w:val="1D1C1D"/>
        </w:rPr>
      </w:pPr>
      <w:r>
        <w:rPr>
          <w:rFonts w:ascii="Calibri" w:eastAsia="Calibri" w:hAnsi="Calibri" w:cs="Calibri"/>
        </w:rPr>
        <w:t>With more than 30 years of success built on putting people first, Merchants Capital is a proven leader in financing for multifamily housing nationwide. Our licenses with Fannie Mae, Freddie Mac and HUD/FHA, in addition to our bank’s balance sheet products, allow us to offer custom solutions with agility and ease of execution, expanding access to housing in meaningful and impactful ways. Recognized as a</w:t>
      </w:r>
      <w:r>
        <w:rPr>
          <w:rFonts w:ascii="Calibri" w:eastAsia="Calibri" w:hAnsi="Calibri" w:cs="Calibri"/>
          <w:color w:val="1D1C1D"/>
        </w:rPr>
        <w:t xml:space="preserve"> </w:t>
      </w:r>
      <w:hyperlink r:id="rId18">
        <w:r>
          <w:rPr>
            <w:rFonts w:ascii="Calibri" w:eastAsia="Calibri" w:hAnsi="Calibri" w:cs="Calibri"/>
            <w:color w:val="73C167"/>
          </w:rPr>
          <w:t>top five affordable lender</w:t>
        </w:r>
      </w:hyperlink>
      <w:r>
        <w:rPr>
          <w:rFonts w:ascii="Calibri" w:eastAsia="Calibri" w:hAnsi="Calibri" w:cs="Calibri"/>
        </w:rPr>
        <w:t>, Merchants Capital pairs our comprehensive debt offerings with in-house tax credit equity to provide a one-stop-shop for developers and owners. To learn more about Merchants Capital, visit</w:t>
      </w:r>
      <w:hyperlink r:id="rId19">
        <w:r>
          <w:rPr>
            <w:rFonts w:ascii="Calibri" w:eastAsia="Calibri" w:hAnsi="Calibri" w:cs="Calibri"/>
            <w:color w:val="73C167"/>
          </w:rPr>
          <w:t xml:space="preserve"> </w:t>
        </w:r>
      </w:hyperlink>
      <w:hyperlink r:id="rId20">
        <w:r>
          <w:rPr>
            <w:rFonts w:ascii="Calibri" w:eastAsia="Calibri" w:hAnsi="Calibri" w:cs="Calibri"/>
            <w:color w:val="73C167"/>
          </w:rPr>
          <w:t>www.merchantscapital.com</w:t>
        </w:r>
      </w:hyperlink>
      <w:r>
        <w:rPr>
          <w:rFonts w:ascii="Calibri" w:eastAsia="Calibri" w:hAnsi="Calibri" w:cs="Calibri"/>
          <w:color w:val="1D1C1D"/>
        </w:rPr>
        <w:t>.</w:t>
      </w:r>
    </w:p>
    <w:p w14:paraId="2E33B25A" w14:textId="324D232F" w:rsidR="000437A3" w:rsidRPr="000437A3" w:rsidRDefault="00AD0C5B" w:rsidP="000437A3">
      <w:pPr>
        <w:jc w:val="both"/>
        <w:rPr>
          <w:rFonts w:ascii="Calibri" w:eastAsia="Calibri" w:hAnsi="Calibri" w:cs="Calibri"/>
          <w:b/>
        </w:rPr>
      </w:pPr>
      <w:r w:rsidRPr="000437A3">
        <w:rPr>
          <w:rFonts w:ascii="Calibri" w:eastAsia="Calibri" w:hAnsi="Calibri" w:cs="Calibri"/>
          <w:b/>
        </w:rPr>
        <w:t>ABOUT MERCHANTS BANCORP</w:t>
      </w:r>
    </w:p>
    <w:p w14:paraId="104DFEF7" w14:textId="77777777" w:rsidR="000437A3" w:rsidRPr="00630474" w:rsidRDefault="000437A3" w:rsidP="000437A3">
      <w:pPr>
        <w:spacing w:after="0"/>
        <w:rPr>
          <w:rFonts w:eastAsia="Calibri" w:cstheme="minorHAnsi"/>
          <w:sz w:val="21"/>
          <w:szCs w:val="21"/>
          <w:lang w:eastAsia="en-US"/>
        </w:rPr>
      </w:pPr>
      <w:r w:rsidRPr="00AD0C5B">
        <w:rPr>
          <w:rFonts w:ascii="Calibri" w:eastAsia="Calibri" w:hAnsi="Calibri" w:cs="Calibri"/>
        </w:rPr>
        <w:t>Ranked as a top performing U.S. public bank by S&amp;P Global Market Intelligence, Merchants Bancorp is a diversified bank holding company headquartered in Carmel, Indiana operating multiple segments, including Multi-family Mortgage Banking that primarily offers multi-family housing and healthcare facility financing and servicing (through this segment it also serves as a syndicator of low-income housing tax credit and debt funds); Mortgage Warehousing that offers mortgage warehouse financing, commercial loans, and deposit services; and Banking that offers retail and correspondent residential mortgage banking, agricultural lending, and traditional community banking.  Merchants Bancorp, with $18.8 billion in assets and $11.9 billion in deposits as of December 31, 2024, conducts its business primarily through its direct and indirect subsidiaries, Merchants Bank of Indiana, Merchants Capital Corp., Merchants Capital Investments, LLC, Merchants Capital Servicing, LLC, Merchants Asset Management, LLC, and Merchants Mortgage, a division of Merchants Bank of Indiana. For more information and financial data, please visit Merchants’ Investor Relations page at</w:t>
      </w:r>
      <w:r w:rsidRPr="00630474">
        <w:rPr>
          <w:rFonts w:eastAsia="Times New Roman" w:cstheme="minorHAnsi"/>
          <w:bCs/>
          <w:color w:val="000000"/>
          <w:sz w:val="21"/>
          <w:szCs w:val="21"/>
          <w:lang w:eastAsia="en-US"/>
        </w:rPr>
        <w:t xml:space="preserve"> </w:t>
      </w:r>
      <w:hyperlink r:id="rId21" w:history="1">
        <w:r w:rsidRPr="00630474">
          <w:rPr>
            <w:rStyle w:val="Hyperlink"/>
            <w:rFonts w:eastAsia="Times New Roman" w:cstheme="minorHAnsi"/>
            <w:bCs/>
            <w:color w:val="73C167"/>
            <w:sz w:val="21"/>
            <w:szCs w:val="21"/>
            <w:lang w:eastAsia="en-US"/>
          </w:rPr>
          <w:t>investors.merchantsbancorp.com</w:t>
        </w:r>
      </w:hyperlink>
      <w:r w:rsidRPr="00630474">
        <w:rPr>
          <w:rFonts w:eastAsia="Calibri" w:cstheme="minorHAnsi"/>
          <w:sz w:val="21"/>
          <w:szCs w:val="21"/>
          <w:lang w:eastAsia="en-US"/>
        </w:rPr>
        <w:t>.</w:t>
      </w:r>
    </w:p>
    <w:p w14:paraId="4F0AC7C1" w14:textId="77777777" w:rsidR="00E46CFB" w:rsidRDefault="00E46CFB" w:rsidP="00592220">
      <w:pPr>
        <w:jc w:val="both"/>
        <w:rPr>
          <w:rFonts w:ascii="Calibri" w:eastAsia="Calibri" w:hAnsi="Calibri" w:cs="Calibri"/>
          <w:color w:val="1D1C1D"/>
        </w:rPr>
      </w:pPr>
    </w:p>
    <w:p w14:paraId="13B21387" w14:textId="7BDF1AEE" w:rsidR="00592220" w:rsidRPr="00592220" w:rsidRDefault="00592220" w:rsidP="00592220">
      <w:pPr>
        <w:jc w:val="both"/>
        <w:rPr>
          <w:rFonts w:eastAsia="Calibri" w:cstheme="minorHAnsi"/>
        </w:rPr>
      </w:pPr>
      <w:r w:rsidRPr="00BA46D5">
        <w:rPr>
          <w:rFonts w:eastAsia="Calibri" w:cstheme="minorHAnsi"/>
          <w:b/>
          <w:bCs/>
        </w:rPr>
        <w:t>MEDIA CONTACT: Terra Hoskins</w:t>
      </w:r>
      <w:r w:rsidRPr="00BA46D5">
        <w:rPr>
          <w:rFonts w:eastAsia="Calibri" w:cstheme="minorHAnsi"/>
        </w:rPr>
        <w:t>,</w:t>
      </w:r>
      <w:r w:rsidRPr="00BA46D5">
        <w:rPr>
          <w:rFonts w:cstheme="minorHAnsi"/>
        </w:rPr>
        <w:t xml:space="preserve"> pr@merchantscapital.com</w:t>
      </w:r>
      <w:r>
        <w:rPr>
          <w:rFonts w:cstheme="minorHAnsi"/>
        </w:rPr>
        <w:t>,</w:t>
      </w:r>
      <w:r w:rsidRPr="00BA46D5">
        <w:rPr>
          <w:rFonts w:eastAsia="Calibri" w:cstheme="minorHAnsi"/>
        </w:rPr>
        <w:t xml:space="preserve"> 317.843.6035</w:t>
      </w:r>
    </w:p>
    <w:p w14:paraId="31A3CF60" w14:textId="77777777" w:rsidR="00592220" w:rsidRDefault="00592220" w:rsidP="00592220">
      <w:pPr>
        <w:jc w:val="both"/>
        <w:rPr>
          <w:rFonts w:ascii="Calibri" w:eastAsia="Calibri" w:hAnsi="Calibri" w:cs="Calibri"/>
        </w:rPr>
      </w:pPr>
      <w:r>
        <w:rPr>
          <w:rFonts w:ascii="Calibri" w:eastAsia="Calibri" w:hAnsi="Calibri" w:cs="Calibri"/>
          <w:b/>
        </w:rPr>
        <w:t>Forward-Looking Statements </w:t>
      </w:r>
    </w:p>
    <w:p w14:paraId="74576B97" w14:textId="77777777" w:rsidR="00592220" w:rsidRDefault="00592220" w:rsidP="00592220">
      <w:pPr>
        <w:jc w:val="both"/>
        <w:rPr>
          <w:rFonts w:ascii="Calibri" w:eastAsia="Calibri" w:hAnsi="Calibri" w:cs="Calibri"/>
        </w:rPr>
      </w:pPr>
      <w:r>
        <w:rPr>
          <w:rFonts w:ascii="Calibri" w:eastAsia="Calibri" w:hAnsi="Calibri" w:cs="Calibri"/>
        </w:rPr>
        <w:t xml:space="preserve">This press release contains forward-looking statements which reflect the company’s current views with respect to, among other things, future events and financial performance. These statements are often, but not always, made through the use of words or phrases such as "may," "might," "should," "could," </w:t>
      </w:r>
      <w:r>
        <w:rPr>
          <w:rFonts w:ascii="Calibri" w:eastAsia="Calibri" w:hAnsi="Calibri" w:cs="Calibri"/>
        </w:rPr>
        <w:lastRenderedPageBreak/>
        <w:t>"predict," "potential," "believe," "expect," "continue," "will," "anticipate," "seek," "estimate," "intend," "plan," "projection," "goal," "target," "outlook," "aim," "would," "annualized" and "outlook," or the negative version of those words or other comparable words or phrases of a future or forward-looking nature. These forward-looking statements are not historical facts, and are based on current expectations, estimates and projections about the industry, management's beliefs and certain assumptions made by management, many of which, by their nature, are inherently uncertain and beyond our control, such as the potential impacts of the COVID-19 pandemic. Accordingly, the company cautions that any such forward-looking statements are not guarantees of future performance and are subject to risks, assumptions, estimates and uncertainties that are difficult to predict. Although the company believes that the expectations reflected in these forward-looking statements are reasonable as of the date made, actual results may prove to be materially different from the results expressed or implied by the forward-looking statements.  A number of important factors could cause actual results to differ materially from those indicated in these forward-looking statements, including the impacts of the COVID-19 pandemic, such as the severity, magnitude, duration and businesses' and governments' responses thereto, on the company's operations and personnel, and on activity and demand across its businesses, and other factors identified in Merchant Bancorp’s "Risk Factors" or "Management's Discussion and Analysis of Financial Condition and Results of Operations" in its Annual Report on Form 10-K and other periodic filings with the Securities and Exchange Commission.  Any forward-looking statements presented herein are made only as of the date of this press release, and the company does not undertake any obligation to update or revise any forward-looking statements to reflect changes in assumptions, the occurrence of unanticipated events, or otherwise.</w:t>
      </w:r>
    </w:p>
    <w:p w14:paraId="58C77844" w14:textId="77777777" w:rsidR="00592220" w:rsidRDefault="00592220" w:rsidP="00592220">
      <w:pPr>
        <w:jc w:val="both"/>
        <w:rPr>
          <w:rFonts w:ascii="Calibri" w:eastAsia="Calibri" w:hAnsi="Calibri" w:cs="Calibri"/>
        </w:rPr>
      </w:pPr>
    </w:p>
    <w:p w14:paraId="775D9EA5" w14:textId="77777777" w:rsidR="00592220" w:rsidRPr="00CC2549" w:rsidRDefault="00592220" w:rsidP="00592220">
      <w:pPr>
        <w:jc w:val="center"/>
        <w:rPr>
          <w:rFonts w:ascii="Century Gothic" w:eastAsia="Century Gothic" w:hAnsi="Century Gothic" w:cs="Century Gothic"/>
          <w:color w:val="73C167"/>
          <w:sz w:val="32"/>
          <w:szCs w:val="32"/>
        </w:rPr>
      </w:pPr>
      <w:r>
        <w:rPr>
          <w:rFonts w:ascii="Calibri" w:eastAsia="Calibri" w:hAnsi="Calibri" w:cs="Calibri"/>
        </w:rPr>
        <w:t>###</w:t>
      </w:r>
    </w:p>
    <w:p w14:paraId="08AE1EE3" w14:textId="49EF2765" w:rsidR="00BE6904" w:rsidRPr="00FC7180" w:rsidRDefault="00FC7180" w:rsidP="00FC7180">
      <w:pPr>
        <w:spacing w:line="360" w:lineRule="auto"/>
        <w:jc w:val="both"/>
        <w:rPr>
          <w:rFonts w:ascii="Calibri" w:eastAsia="Calibri" w:hAnsi="Calibri" w:cs="Calibri"/>
        </w:rPr>
      </w:pPr>
      <w:r>
        <w:rPr>
          <w:rFonts w:ascii="Calibri" w:eastAsia="Calibri" w:hAnsi="Calibri" w:cs="Calibri"/>
        </w:rPr>
        <w:t xml:space="preserve"> </w:t>
      </w:r>
    </w:p>
    <w:sectPr w:rsidR="00BE6904" w:rsidRPr="00FC7180" w:rsidSect="00D84ABB">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170" w:left="1440"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62CE14" w14:textId="77777777" w:rsidR="002676B0" w:rsidRDefault="002676B0">
      <w:pPr>
        <w:spacing w:after="0" w:line="240" w:lineRule="auto"/>
      </w:pPr>
      <w:r>
        <w:separator/>
      </w:r>
    </w:p>
    <w:p w14:paraId="3488BED7" w14:textId="77777777" w:rsidR="002676B0" w:rsidRDefault="002676B0"/>
  </w:endnote>
  <w:endnote w:type="continuationSeparator" w:id="0">
    <w:p w14:paraId="2054D51D" w14:textId="77777777" w:rsidR="002676B0" w:rsidRDefault="002676B0">
      <w:pPr>
        <w:spacing w:after="0" w:line="240" w:lineRule="auto"/>
      </w:pPr>
      <w:r>
        <w:continuationSeparator/>
      </w:r>
    </w:p>
    <w:p w14:paraId="718089C8" w14:textId="77777777" w:rsidR="002676B0" w:rsidRDefault="002676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97DBC" w14:textId="77777777" w:rsidR="00D90E92" w:rsidRDefault="00D90E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E4BD3" w14:textId="7F34FBD9" w:rsidR="000341CD" w:rsidRDefault="000341CD">
    <w:pPr>
      <w:pStyle w:val="Footer"/>
    </w:pPr>
    <w:r>
      <w:t xml:space="preserve">Page | </w:t>
    </w:r>
    <w:r>
      <w:fldChar w:fldCharType="begin"/>
    </w:r>
    <w:r>
      <w:instrText xml:space="preserve"> PAGE   \* MERGEFORMAT </w:instrText>
    </w:r>
    <w:r>
      <w:fldChar w:fldCharType="separate"/>
    </w:r>
    <w:r>
      <w:rPr>
        <w:noProof/>
      </w:rPr>
      <w:t>2</w:t>
    </w:r>
    <w:r>
      <w:fldChar w:fldCharType="end"/>
    </w:r>
  </w:p>
  <w:p w14:paraId="045FADD4" w14:textId="77777777" w:rsidR="000341CD" w:rsidRDefault="000341C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85A13" w14:textId="77777777" w:rsidR="00D90E92" w:rsidRDefault="00D90E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85DA0A" w14:textId="77777777" w:rsidR="002676B0" w:rsidRDefault="002676B0">
      <w:pPr>
        <w:spacing w:after="0" w:line="240" w:lineRule="auto"/>
      </w:pPr>
      <w:r>
        <w:separator/>
      </w:r>
    </w:p>
    <w:p w14:paraId="060A7034" w14:textId="77777777" w:rsidR="002676B0" w:rsidRDefault="002676B0"/>
  </w:footnote>
  <w:footnote w:type="continuationSeparator" w:id="0">
    <w:p w14:paraId="7D3CD3AC" w14:textId="77777777" w:rsidR="002676B0" w:rsidRDefault="002676B0">
      <w:pPr>
        <w:spacing w:after="0" w:line="240" w:lineRule="auto"/>
      </w:pPr>
      <w:r>
        <w:continuationSeparator/>
      </w:r>
    </w:p>
    <w:p w14:paraId="21917329" w14:textId="77777777" w:rsidR="002676B0" w:rsidRDefault="002676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C00A9" w14:textId="77777777" w:rsidR="00D90E92" w:rsidRDefault="00D90E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7FCE7" w14:textId="77777777" w:rsidR="00D90E92" w:rsidRDefault="00D90E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A48E9" w14:textId="4FB474C9" w:rsidR="000341CD" w:rsidRDefault="000341CD" w:rsidP="004530AF">
    <w:pPr>
      <w:pStyle w:val="Header"/>
      <w:tabs>
        <w:tab w:val="clear" w:pos="9360"/>
      </w:tabs>
      <w:ind w:left="-1440" w:right="-1440"/>
    </w:pPr>
    <w:r>
      <w:rPr>
        <w:noProof/>
        <w:lang w:eastAsia="en-US"/>
      </w:rPr>
      <w:drawing>
        <wp:inline distT="0" distB="0" distL="0" distR="0" wp14:anchorId="58F12493" wp14:editId="44C61723">
          <wp:extent cx="7771130" cy="4476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1222399_l(1).jpg"/>
                  <pic:cNvPicPr/>
                </pic:nvPicPr>
                <pic:blipFill rotWithShape="1">
                  <a:blip r:embed="rId1">
                    <a:extLst>
                      <a:ext uri="{BEBA8EAE-BF5A-486C-A8C5-ECC9F3942E4B}">
                        <a14:imgProps xmlns:a14="http://schemas.microsoft.com/office/drawing/2010/main">
                          <a14:imgLayer r:embed="rId2">
                            <a14:imgEffect>
                              <a14:colorTemperature colorTemp="4700"/>
                            </a14:imgEffect>
                          </a14:imgLayer>
                        </a14:imgProps>
                      </a:ext>
                    </a:extLst>
                  </a:blip>
                  <a:srcRect t="11345" b="82665"/>
                  <a:stretch/>
                </pic:blipFill>
                <pic:spPr bwMode="auto">
                  <a:xfrm>
                    <a:off x="0" y="0"/>
                    <a:ext cx="7778063" cy="448024"/>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55506"/>
    <w:multiLevelType w:val="hybridMultilevel"/>
    <w:tmpl w:val="A3604A3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388B614C"/>
    <w:multiLevelType w:val="hybridMultilevel"/>
    <w:tmpl w:val="E3A6D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89174633">
    <w:abstractNumId w:val="1"/>
  </w:num>
  <w:num w:numId="2" w16cid:durableId="17535011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167"/>
    <w:rsid w:val="000018A5"/>
    <w:rsid w:val="00002EC9"/>
    <w:rsid w:val="00015F11"/>
    <w:rsid w:val="00017BDF"/>
    <w:rsid w:val="00017BE6"/>
    <w:rsid w:val="000324A9"/>
    <w:rsid w:val="000341CD"/>
    <w:rsid w:val="000345E4"/>
    <w:rsid w:val="0004379A"/>
    <w:rsid w:val="000437A3"/>
    <w:rsid w:val="000502A0"/>
    <w:rsid w:val="000618BC"/>
    <w:rsid w:val="00062149"/>
    <w:rsid w:val="00072352"/>
    <w:rsid w:val="00094DCA"/>
    <w:rsid w:val="00095465"/>
    <w:rsid w:val="000957B3"/>
    <w:rsid w:val="000A17E4"/>
    <w:rsid w:val="000B0F60"/>
    <w:rsid w:val="000B1F10"/>
    <w:rsid w:val="000B4EDE"/>
    <w:rsid w:val="000B74DF"/>
    <w:rsid w:val="000C0F59"/>
    <w:rsid w:val="000C2E2B"/>
    <w:rsid w:val="000C6F45"/>
    <w:rsid w:val="000D24C9"/>
    <w:rsid w:val="000E38A8"/>
    <w:rsid w:val="000F0D2C"/>
    <w:rsid w:val="000F7CCF"/>
    <w:rsid w:val="00101FBB"/>
    <w:rsid w:val="0010493C"/>
    <w:rsid w:val="00105960"/>
    <w:rsid w:val="00105F8C"/>
    <w:rsid w:val="00111E0F"/>
    <w:rsid w:val="00114341"/>
    <w:rsid w:val="00116961"/>
    <w:rsid w:val="00124AB3"/>
    <w:rsid w:val="00127ACC"/>
    <w:rsid w:val="0013302B"/>
    <w:rsid w:val="00133E3C"/>
    <w:rsid w:val="00167386"/>
    <w:rsid w:val="00167474"/>
    <w:rsid w:val="00175AD2"/>
    <w:rsid w:val="00177064"/>
    <w:rsid w:val="00182371"/>
    <w:rsid w:val="001A2978"/>
    <w:rsid w:val="001B2F63"/>
    <w:rsid w:val="001B34F8"/>
    <w:rsid w:val="001B54B4"/>
    <w:rsid w:val="001C014C"/>
    <w:rsid w:val="001D38D5"/>
    <w:rsid w:val="001E2B4D"/>
    <w:rsid w:val="001E3338"/>
    <w:rsid w:val="001E48E3"/>
    <w:rsid w:val="0020204C"/>
    <w:rsid w:val="00202DD5"/>
    <w:rsid w:val="00207898"/>
    <w:rsid w:val="0020796D"/>
    <w:rsid w:val="0022286C"/>
    <w:rsid w:val="0023234B"/>
    <w:rsid w:val="00232911"/>
    <w:rsid w:val="00234319"/>
    <w:rsid w:val="00234586"/>
    <w:rsid w:val="00242A0C"/>
    <w:rsid w:val="002559FA"/>
    <w:rsid w:val="002676B0"/>
    <w:rsid w:val="00284B45"/>
    <w:rsid w:val="00294E4C"/>
    <w:rsid w:val="00295117"/>
    <w:rsid w:val="002A1D0C"/>
    <w:rsid w:val="002A1FBF"/>
    <w:rsid w:val="002A3C9F"/>
    <w:rsid w:val="002A3D1A"/>
    <w:rsid w:val="002A661B"/>
    <w:rsid w:val="002B3C63"/>
    <w:rsid w:val="002B48CD"/>
    <w:rsid w:val="002C04FE"/>
    <w:rsid w:val="002C355B"/>
    <w:rsid w:val="002C3DCC"/>
    <w:rsid w:val="002C4816"/>
    <w:rsid w:val="002E0F66"/>
    <w:rsid w:val="00306E4D"/>
    <w:rsid w:val="0030700E"/>
    <w:rsid w:val="003070A4"/>
    <w:rsid w:val="0030783B"/>
    <w:rsid w:val="00331821"/>
    <w:rsid w:val="00335926"/>
    <w:rsid w:val="00341697"/>
    <w:rsid w:val="00362970"/>
    <w:rsid w:val="0036721F"/>
    <w:rsid w:val="00375278"/>
    <w:rsid w:val="003764A2"/>
    <w:rsid w:val="00380712"/>
    <w:rsid w:val="0039681F"/>
    <w:rsid w:val="0039689D"/>
    <w:rsid w:val="00397BC6"/>
    <w:rsid w:val="003B3B9B"/>
    <w:rsid w:val="003C0051"/>
    <w:rsid w:val="003C2588"/>
    <w:rsid w:val="003D5F00"/>
    <w:rsid w:val="003E0A98"/>
    <w:rsid w:val="004020AF"/>
    <w:rsid w:val="00402D80"/>
    <w:rsid w:val="0040556B"/>
    <w:rsid w:val="00407B00"/>
    <w:rsid w:val="00415AE4"/>
    <w:rsid w:val="00427BC5"/>
    <w:rsid w:val="00433E8E"/>
    <w:rsid w:val="00436DA5"/>
    <w:rsid w:val="00437188"/>
    <w:rsid w:val="004443B8"/>
    <w:rsid w:val="0044465B"/>
    <w:rsid w:val="004503D3"/>
    <w:rsid w:val="004530AF"/>
    <w:rsid w:val="00455CEB"/>
    <w:rsid w:val="00457842"/>
    <w:rsid w:val="00462FC8"/>
    <w:rsid w:val="00463DF7"/>
    <w:rsid w:val="0046449D"/>
    <w:rsid w:val="00467ED0"/>
    <w:rsid w:val="00484AC3"/>
    <w:rsid w:val="00487DC6"/>
    <w:rsid w:val="004A0F91"/>
    <w:rsid w:val="004A2B36"/>
    <w:rsid w:val="004B536B"/>
    <w:rsid w:val="004B64AA"/>
    <w:rsid w:val="004C2782"/>
    <w:rsid w:val="004D6647"/>
    <w:rsid w:val="004F36E9"/>
    <w:rsid w:val="004F513F"/>
    <w:rsid w:val="005157AC"/>
    <w:rsid w:val="00536371"/>
    <w:rsid w:val="00553A1B"/>
    <w:rsid w:val="00553D81"/>
    <w:rsid w:val="00564FE6"/>
    <w:rsid w:val="0057516B"/>
    <w:rsid w:val="00575CF2"/>
    <w:rsid w:val="005907A7"/>
    <w:rsid w:val="005908E1"/>
    <w:rsid w:val="00592220"/>
    <w:rsid w:val="00593493"/>
    <w:rsid w:val="00597721"/>
    <w:rsid w:val="00597D7E"/>
    <w:rsid w:val="005A61F9"/>
    <w:rsid w:val="005B5689"/>
    <w:rsid w:val="005B5E65"/>
    <w:rsid w:val="005C3320"/>
    <w:rsid w:val="005C41FE"/>
    <w:rsid w:val="005D171E"/>
    <w:rsid w:val="005D23F1"/>
    <w:rsid w:val="005D5D0B"/>
    <w:rsid w:val="0060324D"/>
    <w:rsid w:val="00603ED0"/>
    <w:rsid w:val="006060A4"/>
    <w:rsid w:val="006079C5"/>
    <w:rsid w:val="006112C5"/>
    <w:rsid w:val="006139F2"/>
    <w:rsid w:val="006161B6"/>
    <w:rsid w:val="00617708"/>
    <w:rsid w:val="006215AA"/>
    <w:rsid w:val="00624F0C"/>
    <w:rsid w:val="00626661"/>
    <w:rsid w:val="00632115"/>
    <w:rsid w:val="00637167"/>
    <w:rsid w:val="00660628"/>
    <w:rsid w:val="0066149E"/>
    <w:rsid w:val="006639B9"/>
    <w:rsid w:val="00695032"/>
    <w:rsid w:val="006A2A7D"/>
    <w:rsid w:val="006B4D36"/>
    <w:rsid w:val="006C698C"/>
    <w:rsid w:val="006E1148"/>
    <w:rsid w:val="006E2481"/>
    <w:rsid w:val="006E6801"/>
    <w:rsid w:val="006E7BA4"/>
    <w:rsid w:val="006E7C62"/>
    <w:rsid w:val="006F0125"/>
    <w:rsid w:val="006F2017"/>
    <w:rsid w:val="0070185B"/>
    <w:rsid w:val="00704787"/>
    <w:rsid w:val="00705E50"/>
    <w:rsid w:val="00706F60"/>
    <w:rsid w:val="007108A4"/>
    <w:rsid w:val="0071130E"/>
    <w:rsid w:val="00723CA5"/>
    <w:rsid w:val="0072414A"/>
    <w:rsid w:val="007313E8"/>
    <w:rsid w:val="00735611"/>
    <w:rsid w:val="00742592"/>
    <w:rsid w:val="00747B07"/>
    <w:rsid w:val="007526FE"/>
    <w:rsid w:val="00757474"/>
    <w:rsid w:val="00760318"/>
    <w:rsid w:val="00774F2E"/>
    <w:rsid w:val="007836C1"/>
    <w:rsid w:val="00794A1E"/>
    <w:rsid w:val="00797EA0"/>
    <w:rsid w:val="007A0D64"/>
    <w:rsid w:val="007B14CE"/>
    <w:rsid w:val="007B65A4"/>
    <w:rsid w:val="007F083A"/>
    <w:rsid w:val="00811243"/>
    <w:rsid w:val="00813AF2"/>
    <w:rsid w:val="008154BC"/>
    <w:rsid w:val="00846509"/>
    <w:rsid w:val="00852E3E"/>
    <w:rsid w:val="008551B6"/>
    <w:rsid w:val="00857EE8"/>
    <w:rsid w:val="00860B9C"/>
    <w:rsid w:val="008614CF"/>
    <w:rsid w:val="008723F3"/>
    <w:rsid w:val="00873123"/>
    <w:rsid w:val="008810DC"/>
    <w:rsid w:val="00882F0E"/>
    <w:rsid w:val="008876F8"/>
    <w:rsid w:val="008A3C6D"/>
    <w:rsid w:val="008A5AE4"/>
    <w:rsid w:val="008A5F24"/>
    <w:rsid w:val="008B4EB1"/>
    <w:rsid w:val="008B6A4E"/>
    <w:rsid w:val="008B7CBE"/>
    <w:rsid w:val="008C0711"/>
    <w:rsid w:val="008D56C6"/>
    <w:rsid w:val="00901293"/>
    <w:rsid w:val="00905C48"/>
    <w:rsid w:val="009130CC"/>
    <w:rsid w:val="00913F5F"/>
    <w:rsid w:val="00914652"/>
    <w:rsid w:val="009216BE"/>
    <w:rsid w:val="009216D9"/>
    <w:rsid w:val="00932D89"/>
    <w:rsid w:val="0094257F"/>
    <w:rsid w:val="009451FA"/>
    <w:rsid w:val="00960D1E"/>
    <w:rsid w:val="00982996"/>
    <w:rsid w:val="00991353"/>
    <w:rsid w:val="00991F17"/>
    <w:rsid w:val="00992314"/>
    <w:rsid w:val="0099292D"/>
    <w:rsid w:val="009949CC"/>
    <w:rsid w:val="009958D0"/>
    <w:rsid w:val="009A01E1"/>
    <w:rsid w:val="009A5DA9"/>
    <w:rsid w:val="009B55E9"/>
    <w:rsid w:val="009C2043"/>
    <w:rsid w:val="009E03B7"/>
    <w:rsid w:val="009E5FB1"/>
    <w:rsid w:val="009F7F03"/>
    <w:rsid w:val="00A00034"/>
    <w:rsid w:val="00A10E44"/>
    <w:rsid w:val="00A1576A"/>
    <w:rsid w:val="00A17E4E"/>
    <w:rsid w:val="00A21A66"/>
    <w:rsid w:val="00A25E89"/>
    <w:rsid w:val="00A263D4"/>
    <w:rsid w:val="00A271ED"/>
    <w:rsid w:val="00A30DC5"/>
    <w:rsid w:val="00A32636"/>
    <w:rsid w:val="00A56FA7"/>
    <w:rsid w:val="00A57A22"/>
    <w:rsid w:val="00A729C4"/>
    <w:rsid w:val="00A755F7"/>
    <w:rsid w:val="00A76B98"/>
    <w:rsid w:val="00A772BF"/>
    <w:rsid w:val="00A81B30"/>
    <w:rsid w:val="00A82991"/>
    <w:rsid w:val="00A87806"/>
    <w:rsid w:val="00AA3157"/>
    <w:rsid w:val="00AA33F3"/>
    <w:rsid w:val="00AA60E8"/>
    <w:rsid w:val="00AA7427"/>
    <w:rsid w:val="00AB1438"/>
    <w:rsid w:val="00AC4E78"/>
    <w:rsid w:val="00AD0C5B"/>
    <w:rsid w:val="00AD19A2"/>
    <w:rsid w:val="00AD33AC"/>
    <w:rsid w:val="00AD3E08"/>
    <w:rsid w:val="00AD4458"/>
    <w:rsid w:val="00AD54DE"/>
    <w:rsid w:val="00AD7324"/>
    <w:rsid w:val="00AE3024"/>
    <w:rsid w:val="00AE413B"/>
    <w:rsid w:val="00AE4C3A"/>
    <w:rsid w:val="00AF6C46"/>
    <w:rsid w:val="00B1393F"/>
    <w:rsid w:val="00B2091F"/>
    <w:rsid w:val="00B228E9"/>
    <w:rsid w:val="00B243AF"/>
    <w:rsid w:val="00B2584B"/>
    <w:rsid w:val="00B351EE"/>
    <w:rsid w:val="00B427E2"/>
    <w:rsid w:val="00B44B1E"/>
    <w:rsid w:val="00B47664"/>
    <w:rsid w:val="00B47CCF"/>
    <w:rsid w:val="00B564F8"/>
    <w:rsid w:val="00B61885"/>
    <w:rsid w:val="00B61D10"/>
    <w:rsid w:val="00B75C26"/>
    <w:rsid w:val="00B8440A"/>
    <w:rsid w:val="00B95D74"/>
    <w:rsid w:val="00BA2C3C"/>
    <w:rsid w:val="00BA541B"/>
    <w:rsid w:val="00BA7FC6"/>
    <w:rsid w:val="00BC4460"/>
    <w:rsid w:val="00BC5B1E"/>
    <w:rsid w:val="00BE0C18"/>
    <w:rsid w:val="00BE1E8E"/>
    <w:rsid w:val="00BE6904"/>
    <w:rsid w:val="00BE7628"/>
    <w:rsid w:val="00BF070B"/>
    <w:rsid w:val="00BF4E8D"/>
    <w:rsid w:val="00BF5C6E"/>
    <w:rsid w:val="00C01726"/>
    <w:rsid w:val="00C03326"/>
    <w:rsid w:val="00C072FE"/>
    <w:rsid w:val="00C076D2"/>
    <w:rsid w:val="00C151B8"/>
    <w:rsid w:val="00C15FAD"/>
    <w:rsid w:val="00C22873"/>
    <w:rsid w:val="00C3466D"/>
    <w:rsid w:val="00C62FDB"/>
    <w:rsid w:val="00C674C8"/>
    <w:rsid w:val="00CA236D"/>
    <w:rsid w:val="00CA69D4"/>
    <w:rsid w:val="00CC4D7E"/>
    <w:rsid w:val="00CC4F14"/>
    <w:rsid w:val="00CD4940"/>
    <w:rsid w:val="00CE1287"/>
    <w:rsid w:val="00CE4907"/>
    <w:rsid w:val="00D01737"/>
    <w:rsid w:val="00D0628C"/>
    <w:rsid w:val="00D07492"/>
    <w:rsid w:val="00D341DF"/>
    <w:rsid w:val="00D51A44"/>
    <w:rsid w:val="00D554FB"/>
    <w:rsid w:val="00D63947"/>
    <w:rsid w:val="00D639D6"/>
    <w:rsid w:val="00D653E1"/>
    <w:rsid w:val="00D65D64"/>
    <w:rsid w:val="00D71693"/>
    <w:rsid w:val="00D72041"/>
    <w:rsid w:val="00D76477"/>
    <w:rsid w:val="00D84ABB"/>
    <w:rsid w:val="00D855CA"/>
    <w:rsid w:val="00D90E92"/>
    <w:rsid w:val="00D92F31"/>
    <w:rsid w:val="00DA69D0"/>
    <w:rsid w:val="00DB554B"/>
    <w:rsid w:val="00DC3807"/>
    <w:rsid w:val="00DD159B"/>
    <w:rsid w:val="00DD5D81"/>
    <w:rsid w:val="00DF2604"/>
    <w:rsid w:val="00E0696A"/>
    <w:rsid w:val="00E124E1"/>
    <w:rsid w:val="00E268F1"/>
    <w:rsid w:val="00E2744D"/>
    <w:rsid w:val="00E27C3C"/>
    <w:rsid w:val="00E308E4"/>
    <w:rsid w:val="00E31331"/>
    <w:rsid w:val="00E33ECB"/>
    <w:rsid w:val="00E46897"/>
    <w:rsid w:val="00E46CFB"/>
    <w:rsid w:val="00E55047"/>
    <w:rsid w:val="00E836F8"/>
    <w:rsid w:val="00E94144"/>
    <w:rsid w:val="00E95DA8"/>
    <w:rsid w:val="00EA188D"/>
    <w:rsid w:val="00EC349B"/>
    <w:rsid w:val="00ED6077"/>
    <w:rsid w:val="00EE3D17"/>
    <w:rsid w:val="00F02593"/>
    <w:rsid w:val="00F16BF2"/>
    <w:rsid w:val="00F22C4A"/>
    <w:rsid w:val="00F356D3"/>
    <w:rsid w:val="00F4755D"/>
    <w:rsid w:val="00F52E39"/>
    <w:rsid w:val="00F54CEA"/>
    <w:rsid w:val="00F6453E"/>
    <w:rsid w:val="00F80EDB"/>
    <w:rsid w:val="00F819BA"/>
    <w:rsid w:val="00F81BC4"/>
    <w:rsid w:val="00F83EDD"/>
    <w:rsid w:val="00F96B9A"/>
    <w:rsid w:val="00FA333B"/>
    <w:rsid w:val="00FA50AD"/>
    <w:rsid w:val="00FA576E"/>
    <w:rsid w:val="00FC2E81"/>
    <w:rsid w:val="00FC3C01"/>
    <w:rsid w:val="00FC7180"/>
    <w:rsid w:val="00FD055B"/>
    <w:rsid w:val="00FF15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70DAEBF"/>
  <w15:docId w15:val="{4F584808-AC57-488F-B0F3-E6CAA8640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spacing w:after="0" w:line="240" w:lineRule="auto"/>
      <w:jc w:val="right"/>
      <w:outlineLvl w:val="0"/>
    </w:pPr>
    <w:rPr>
      <w:color w:val="4A66AC" w:themeColor="accent1"/>
      <w:sz w:val="28"/>
      <w:szCs w:val="28"/>
    </w:rPr>
  </w:style>
  <w:style w:type="paragraph" w:styleId="Heading2">
    <w:name w:val="heading 2"/>
    <w:basedOn w:val="Normal"/>
    <w:next w:val="Normal"/>
    <w:unhideWhenUsed/>
    <w:qFormat/>
    <w:pPr>
      <w:spacing w:before="2" w:after="0" w:line="240" w:lineRule="auto"/>
      <w:ind w:right="115"/>
      <w:jc w:val="right"/>
      <w:outlineLvl w:val="1"/>
    </w:pPr>
    <w:rPr>
      <w:rFonts w:asciiTheme="majorHAnsi" w:eastAsiaTheme="majorEastAsia" w:hAnsiTheme="majorHAnsi" w:cstheme="majorBidi"/>
      <w:i/>
      <w:iCs/>
      <w:color w:val="4A66AC" w:themeColor="accent1"/>
    </w:rPr>
  </w:style>
  <w:style w:type="paragraph" w:styleId="Heading3">
    <w:name w:val="heading 3"/>
    <w:basedOn w:val="Normal"/>
    <w:next w:val="Normal"/>
    <w:link w:val="Heading3Char"/>
    <w:uiPriority w:val="9"/>
    <w:unhideWhenUsed/>
    <w:pPr>
      <w:keepNext/>
      <w:keepLines/>
      <w:spacing w:after="0" w:line="240" w:lineRule="auto"/>
      <w:contextualSpacing/>
      <w:jc w:val="right"/>
      <w:outlineLvl w:val="2"/>
    </w:pPr>
    <w:rPr>
      <w:rFonts w:asciiTheme="majorHAnsi" w:eastAsiaTheme="majorEastAsia" w:hAnsiTheme="majorHAnsi" w:cstheme="majorBidi"/>
      <w:color w:val="4A66AC" w:themeColor="accent1"/>
      <w:sz w:val="28"/>
      <w:szCs w:val="28"/>
    </w:rPr>
  </w:style>
  <w:style w:type="paragraph" w:styleId="Heading4">
    <w:name w:val="heading 4"/>
    <w:basedOn w:val="Normal"/>
    <w:next w:val="Normal"/>
    <w:link w:val="Heading4Char"/>
    <w:uiPriority w:val="9"/>
    <w:unhideWhenUsed/>
    <w:pPr>
      <w:spacing w:after="0" w:line="240" w:lineRule="auto"/>
      <w:ind w:right="115"/>
      <w:jc w:val="right"/>
      <w:outlineLvl w:val="3"/>
    </w:pPr>
    <w:rPr>
      <w:b/>
      <w:bCs/>
      <w:i/>
      <w:iCs/>
      <w:color w:val="4A66AC"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paragraph" w:styleId="Title">
    <w:name w:val="Title"/>
    <w:basedOn w:val="Normal"/>
    <w:next w:val="Normal"/>
    <w:qFormat/>
    <w:pPr>
      <w:spacing w:before="600" w:after="0"/>
      <w:jc w:val="center"/>
      <w:outlineLvl w:val="0"/>
    </w:pPr>
    <w:rPr>
      <w:rFonts w:asciiTheme="majorHAnsi" w:eastAsiaTheme="majorEastAsia" w:hAnsiTheme="majorHAnsi" w:cstheme="majorBidi"/>
      <w:caps/>
      <w:color w:val="4A66AC" w:themeColor="accent1"/>
      <w:sz w:val="32"/>
      <w:szCs w:val="32"/>
    </w:rPr>
  </w:style>
  <w:style w:type="paragraph" w:styleId="Quote">
    <w:name w:val="Quote"/>
    <w:basedOn w:val="Normal"/>
    <w:next w:val="Normal"/>
    <w:unhideWhenUsed/>
    <w:qFormat/>
    <w:pPr>
      <w:spacing w:before="200" w:after="160"/>
      <w:ind w:left="864" w:right="864"/>
    </w:pPr>
    <w:rPr>
      <w:i/>
      <w:iCs/>
      <w:color w:val="5A5A5A" w:themeColor="text1" w:themeTint="A5"/>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customStyle="1" w:styleId="Heading3Char">
    <w:name w:val="Heading 3 Char"/>
    <w:basedOn w:val="DefaultParagraphFont"/>
    <w:link w:val="Heading3"/>
    <w:uiPriority w:val="9"/>
    <w:rPr>
      <w:rFonts w:asciiTheme="majorHAnsi" w:eastAsiaTheme="majorEastAsia" w:hAnsiTheme="majorHAnsi" w:cstheme="majorBidi"/>
      <w:color w:val="4A66AC" w:themeColor="accent1"/>
      <w:sz w:val="28"/>
      <w:szCs w:val="28"/>
    </w:rPr>
  </w:style>
  <w:style w:type="paragraph" w:customStyle="1" w:styleId="Logo">
    <w:name w:val="Logo"/>
    <w:basedOn w:val="Normal"/>
    <w:qFormat/>
    <w:pPr>
      <w:spacing w:after="800"/>
      <w:jc w:val="center"/>
    </w:pPr>
  </w:style>
  <w:style w:type="character" w:customStyle="1" w:styleId="Heading4Char">
    <w:name w:val="Heading 4 Char"/>
    <w:basedOn w:val="DefaultParagraphFont"/>
    <w:link w:val="Heading4"/>
    <w:uiPriority w:val="9"/>
    <w:rPr>
      <w:b/>
      <w:bCs/>
      <w:i/>
      <w:iCs/>
      <w:color w:val="4A66AC" w:themeColor="accent1"/>
    </w:rPr>
  </w:style>
  <w:style w:type="paragraph" w:styleId="Subtitle">
    <w:name w:val="Subtitle"/>
    <w:basedOn w:val="Normal"/>
    <w:next w:val="Normal"/>
    <w:qFormat/>
    <w:pPr>
      <w:spacing w:before="160" w:after="480"/>
      <w:contextualSpacing/>
      <w:jc w:val="center"/>
      <w:outlineLvl w:val="1"/>
    </w:pPr>
    <w:rPr>
      <w:rFonts w:asciiTheme="majorHAnsi" w:eastAsiaTheme="majorEastAsia" w:hAnsiTheme="majorHAnsi" w:cstheme="majorBidi"/>
      <w:color w:val="4A66AC" w:themeColor="accent1"/>
      <w:sz w:val="26"/>
      <w:szCs w:val="26"/>
    </w:rPr>
  </w:style>
  <w:style w:type="character" w:styleId="Hyperlink">
    <w:name w:val="Hyperlink"/>
    <w:basedOn w:val="DefaultParagraphFont"/>
    <w:unhideWhenUsed/>
    <w:rsid w:val="00637167"/>
    <w:rPr>
      <w:color w:val="9454C3" w:themeColor="hyperlink"/>
      <w:u w:val="single"/>
    </w:rPr>
  </w:style>
  <w:style w:type="character" w:customStyle="1" w:styleId="wsite-text">
    <w:name w:val="wsite-text"/>
    <w:basedOn w:val="DefaultParagraphFont"/>
    <w:rsid w:val="00FA50AD"/>
  </w:style>
  <w:style w:type="paragraph" w:styleId="BalloonText">
    <w:name w:val="Balloon Text"/>
    <w:basedOn w:val="Normal"/>
    <w:link w:val="BalloonTextChar"/>
    <w:uiPriority w:val="99"/>
    <w:semiHidden/>
    <w:unhideWhenUsed/>
    <w:rsid w:val="00D017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1737"/>
    <w:rPr>
      <w:rFonts w:ascii="Segoe UI" w:hAnsi="Segoe UI" w:cs="Segoe UI"/>
      <w:sz w:val="18"/>
      <w:szCs w:val="18"/>
    </w:rPr>
  </w:style>
  <w:style w:type="character" w:styleId="CommentReference">
    <w:name w:val="annotation reference"/>
    <w:basedOn w:val="DefaultParagraphFont"/>
    <w:uiPriority w:val="99"/>
    <w:semiHidden/>
    <w:unhideWhenUsed/>
    <w:rsid w:val="00C151B8"/>
    <w:rPr>
      <w:sz w:val="16"/>
      <w:szCs w:val="16"/>
    </w:rPr>
  </w:style>
  <w:style w:type="paragraph" w:styleId="CommentText">
    <w:name w:val="annotation text"/>
    <w:basedOn w:val="Normal"/>
    <w:link w:val="CommentTextChar"/>
    <w:uiPriority w:val="99"/>
    <w:semiHidden/>
    <w:unhideWhenUsed/>
    <w:rsid w:val="00C151B8"/>
    <w:pPr>
      <w:spacing w:line="240" w:lineRule="auto"/>
    </w:pPr>
    <w:rPr>
      <w:sz w:val="20"/>
      <w:szCs w:val="20"/>
    </w:rPr>
  </w:style>
  <w:style w:type="character" w:customStyle="1" w:styleId="CommentTextChar">
    <w:name w:val="Comment Text Char"/>
    <w:basedOn w:val="DefaultParagraphFont"/>
    <w:link w:val="CommentText"/>
    <w:uiPriority w:val="99"/>
    <w:semiHidden/>
    <w:rsid w:val="00C151B8"/>
    <w:rPr>
      <w:sz w:val="20"/>
      <w:szCs w:val="20"/>
    </w:rPr>
  </w:style>
  <w:style w:type="paragraph" w:styleId="CommentSubject">
    <w:name w:val="annotation subject"/>
    <w:basedOn w:val="CommentText"/>
    <w:next w:val="CommentText"/>
    <w:link w:val="CommentSubjectChar"/>
    <w:uiPriority w:val="99"/>
    <w:semiHidden/>
    <w:unhideWhenUsed/>
    <w:rsid w:val="00C151B8"/>
    <w:rPr>
      <w:b/>
      <w:bCs/>
    </w:rPr>
  </w:style>
  <w:style w:type="character" w:customStyle="1" w:styleId="CommentSubjectChar">
    <w:name w:val="Comment Subject Char"/>
    <w:basedOn w:val="CommentTextChar"/>
    <w:link w:val="CommentSubject"/>
    <w:uiPriority w:val="99"/>
    <w:semiHidden/>
    <w:rsid w:val="00C151B8"/>
    <w:rPr>
      <w:b/>
      <w:bCs/>
      <w:sz w:val="20"/>
      <w:szCs w:val="20"/>
    </w:rPr>
  </w:style>
  <w:style w:type="paragraph" w:styleId="NoSpacing">
    <w:name w:val="No Spacing"/>
    <w:uiPriority w:val="1"/>
    <w:qFormat/>
    <w:rsid w:val="00723CA5"/>
    <w:pPr>
      <w:widowControl w:val="0"/>
      <w:spacing w:after="0" w:line="240" w:lineRule="auto"/>
    </w:pPr>
    <w:rPr>
      <w:rFonts w:eastAsiaTheme="minorHAnsi"/>
      <w:lang w:eastAsia="en-US"/>
    </w:rPr>
  </w:style>
  <w:style w:type="paragraph" w:styleId="NormalWeb">
    <w:name w:val="Normal (Web)"/>
    <w:basedOn w:val="Normal"/>
    <w:uiPriority w:val="99"/>
    <w:rsid w:val="00723CA5"/>
    <w:pPr>
      <w:suppressAutoHyphens/>
      <w:overflowPunct w:val="0"/>
      <w:autoSpaceDE w:val="0"/>
      <w:autoSpaceDN w:val="0"/>
      <w:adjustRightInd w:val="0"/>
      <w:spacing w:before="280" w:after="280" w:line="240" w:lineRule="auto"/>
      <w:textAlignment w:val="baseline"/>
    </w:pPr>
    <w:rPr>
      <w:rFonts w:ascii="Times New Roman" w:eastAsia="Times New Roman" w:hAnsi="Times New Roman" w:cs="Times New Roman"/>
      <w:sz w:val="24"/>
      <w:szCs w:val="20"/>
      <w:lang w:eastAsia="en-US"/>
    </w:rPr>
  </w:style>
  <w:style w:type="character" w:customStyle="1" w:styleId="UnresolvedMention1">
    <w:name w:val="Unresolved Mention1"/>
    <w:basedOn w:val="DefaultParagraphFont"/>
    <w:uiPriority w:val="99"/>
    <w:semiHidden/>
    <w:unhideWhenUsed/>
    <w:rsid w:val="00632115"/>
    <w:rPr>
      <w:color w:val="808080"/>
      <w:shd w:val="clear" w:color="auto" w:fill="E6E6E6"/>
    </w:rPr>
  </w:style>
  <w:style w:type="paragraph" w:customStyle="1" w:styleId="ContactInformation">
    <w:name w:val="Contact Information"/>
    <w:basedOn w:val="Normal"/>
    <w:rsid w:val="00852E3E"/>
    <w:pPr>
      <w:spacing w:after="0" w:line="180" w:lineRule="exact"/>
    </w:pPr>
    <w:rPr>
      <w:rFonts w:ascii="Century Gothic" w:eastAsia="Times New Roman" w:hAnsi="Century Gothic" w:cs="Times New Roman"/>
      <w:color w:val="2A5A78"/>
      <w:spacing w:val="-5"/>
      <w:sz w:val="16"/>
      <w:szCs w:val="20"/>
      <w:lang w:eastAsia="en-US"/>
    </w:rPr>
  </w:style>
  <w:style w:type="paragraph" w:customStyle="1" w:styleId="ContactName">
    <w:name w:val="Contact Name"/>
    <w:basedOn w:val="ContactInformation"/>
    <w:rsid w:val="00852E3E"/>
    <w:rPr>
      <w:b/>
    </w:rPr>
  </w:style>
  <w:style w:type="paragraph" w:styleId="ListParagraph">
    <w:name w:val="List Paragraph"/>
    <w:basedOn w:val="Normal"/>
    <w:uiPriority w:val="34"/>
    <w:qFormat/>
    <w:rsid w:val="00095465"/>
    <w:pPr>
      <w:spacing w:after="160" w:line="259" w:lineRule="auto"/>
      <w:ind w:left="720"/>
      <w:contextualSpacing/>
    </w:pPr>
    <w:rPr>
      <w:rFonts w:eastAsiaTheme="minorHAnsi"/>
      <w:lang w:eastAsia="en-US"/>
    </w:rPr>
  </w:style>
  <w:style w:type="paragraph" w:styleId="Revision">
    <w:name w:val="Revision"/>
    <w:hidden/>
    <w:uiPriority w:val="99"/>
    <w:semiHidden/>
    <w:rsid w:val="00D71693"/>
    <w:pPr>
      <w:spacing w:after="0" w:line="240" w:lineRule="auto"/>
    </w:pPr>
  </w:style>
  <w:style w:type="character" w:styleId="UnresolvedMention">
    <w:name w:val="Unresolved Mention"/>
    <w:basedOn w:val="DefaultParagraphFont"/>
    <w:uiPriority w:val="99"/>
    <w:rsid w:val="009C2043"/>
    <w:rPr>
      <w:color w:val="605E5C"/>
      <w:shd w:val="clear" w:color="auto" w:fill="E1DFDD"/>
    </w:rPr>
  </w:style>
  <w:style w:type="character" w:styleId="FollowedHyperlink">
    <w:name w:val="FollowedHyperlink"/>
    <w:basedOn w:val="DefaultParagraphFont"/>
    <w:uiPriority w:val="99"/>
    <w:semiHidden/>
    <w:unhideWhenUsed/>
    <w:rsid w:val="005C3320"/>
    <w:rPr>
      <w:color w:val="3EBBF0" w:themeColor="followedHyperlink"/>
      <w:u w:val="single"/>
    </w:rPr>
  </w:style>
  <w:style w:type="paragraph" w:styleId="BodyText">
    <w:name w:val="Body Text"/>
    <w:basedOn w:val="Normal"/>
    <w:link w:val="BodyTextChar"/>
    <w:uiPriority w:val="1"/>
    <w:qFormat/>
    <w:rsid w:val="00232911"/>
    <w:pPr>
      <w:widowControl w:val="0"/>
      <w:autoSpaceDE w:val="0"/>
      <w:autoSpaceDN w:val="0"/>
      <w:spacing w:after="0" w:line="240" w:lineRule="auto"/>
    </w:pPr>
    <w:rPr>
      <w:rFonts w:ascii="Calibri" w:eastAsia="Calibri" w:hAnsi="Calibri" w:cs="Calibri"/>
      <w:lang w:eastAsia="en-US"/>
    </w:rPr>
  </w:style>
  <w:style w:type="character" w:customStyle="1" w:styleId="BodyTextChar">
    <w:name w:val="Body Text Char"/>
    <w:basedOn w:val="DefaultParagraphFont"/>
    <w:link w:val="BodyText"/>
    <w:uiPriority w:val="1"/>
    <w:rsid w:val="00232911"/>
    <w:rPr>
      <w:rFonts w:ascii="Calibri" w:eastAsia="Calibri" w:hAnsi="Calibri" w:cs="Calibri"/>
      <w:lang w:eastAsia="en-US"/>
    </w:rPr>
  </w:style>
  <w:style w:type="paragraph" w:customStyle="1" w:styleId="BoldText">
    <w:name w:val="Bold Text"/>
    <w:basedOn w:val="Normal"/>
    <w:link w:val="BoldTextChar"/>
    <w:rsid w:val="003C2588"/>
    <w:pPr>
      <w:spacing w:after="220" w:line="336" w:lineRule="auto"/>
    </w:pPr>
    <w:rPr>
      <w:rFonts w:ascii="Century Gothic" w:eastAsia="Times New Roman" w:hAnsi="Century Gothic" w:cs="Times New Roman"/>
      <w:b/>
      <w:sz w:val="18"/>
      <w:szCs w:val="18"/>
      <w:lang w:eastAsia="en-US"/>
    </w:rPr>
  </w:style>
  <w:style w:type="character" w:customStyle="1" w:styleId="BoldTextChar">
    <w:name w:val="Bold Text Char"/>
    <w:basedOn w:val="DefaultParagraphFont"/>
    <w:link w:val="BoldText"/>
    <w:rsid w:val="003C2588"/>
    <w:rPr>
      <w:rFonts w:ascii="Century Gothic" w:eastAsia="Times New Roman" w:hAnsi="Century Gothic" w:cs="Times New Roman"/>
      <w:b/>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7041">
      <w:bodyDiv w:val="1"/>
      <w:marLeft w:val="0"/>
      <w:marRight w:val="0"/>
      <w:marTop w:val="0"/>
      <w:marBottom w:val="0"/>
      <w:divBdr>
        <w:top w:val="none" w:sz="0" w:space="0" w:color="auto"/>
        <w:left w:val="none" w:sz="0" w:space="0" w:color="auto"/>
        <w:bottom w:val="none" w:sz="0" w:space="0" w:color="auto"/>
        <w:right w:val="none" w:sz="0" w:space="0" w:color="auto"/>
      </w:divBdr>
    </w:div>
    <w:div w:id="19402641">
      <w:bodyDiv w:val="1"/>
      <w:marLeft w:val="0"/>
      <w:marRight w:val="0"/>
      <w:marTop w:val="0"/>
      <w:marBottom w:val="0"/>
      <w:divBdr>
        <w:top w:val="none" w:sz="0" w:space="0" w:color="auto"/>
        <w:left w:val="none" w:sz="0" w:space="0" w:color="auto"/>
        <w:bottom w:val="none" w:sz="0" w:space="0" w:color="auto"/>
        <w:right w:val="none" w:sz="0" w:space="0" w:color="auto"/>
      </w:divBdr>
    </w:div>
    <w:div w:id="167671862">
      <w:bodyDiv w:val="1"/>
      <w:marLeft w:val="0"/>
      <w:marRight w:val="0"/>
      <w:marTop w:val="0"/>
      <w:marBottom w:val="0"/>
      <w:divBdr>
        <w:top w:val="none" w:sz="0" w:space="0" w:color="auto"/>
        <w:left w:val="none" w:sz="0" w:space="0" w:color="auto"/>
        <w:bottom w:val="none" w:sz="0" w:space="0" w:color="auto"/>
        <w:right w:val="none" w:sz="0" w:space="0" w:color="auto"/>
      </w:divBdr>
    </w:div>
    <w:div w:id="276985236">
      <w:bodyDiv w:val="1"/>
      <w:marLeft w:val="0"/>
      <w:marRight w:val="0"/>
      <w:marTop w:val="0"/>
      <w:marBottom w:val="0"/>
      <w:divBdr>
        <w:top w:val="none" w:sz="0" w:space="0" w:color="auto"/>
        <w:left w:val="none" w:sz="0" w:space="0" w:color="auto"/>
        <w:bottom w:val="none" w:sz="0" w:space="0" w:color="auto"/>
        <w:right w:val="none" w:sz="0" w:space="0" w:color="auto"/>
      </w:divBdr>
    </w:div>
    <w:div w:id="590553124">
      <w:bodyDiv w:val="1"/>
      <w:marLeft w:val="0"/>
      <w:marRight w:val="0"/>
      <w:marTop w:val="0"/>
      <w:marBottom w:val="0"/>
      <w:divBdr>
        <w:top w:val="none" w:sz="0" w:space="0" w:color="auto"/>
        <w:left w:val="none" w:sz="0" w:space="0" w:color="auto"/>
        <w:bottom w:val="none" w:sz="0" w:space="0" w:color="auto"/>
        <w:right w:val="none" w:sz="0" w:space="0" w:color="auto"/>
      </w:divBdr>
    </w:div>
    <w:div w:id="856844481">
      <w:bodyDiv w:val="1"/>
      <w:marLeft w:val="0"/>
      <w:marRight w:val="0"/>
      <w:marTop w:val="0"/>
      <w:marBottom w:val="0"/>
      <w:divBdr>
        <w:top w:val="none" w:sz="0" w:space="0" w:color="auto"/>
        <w:left w:val="none" w:sz="0" w:space="0" w:color="auto"/>
        <w:bottom w:val="none" w:sz="0" w:space="0" w:color="auto"/>
        <w:right w:val="none" w:sz="0" w:space="0" w:color="auto"/>
      </w:divBdr>
    </w:div>
    <w:div w:id="958492741">
      <w:bodyDiv w:val="1"/>
      <w:marLeft w:val="0"/>
      <w:marRight w:val="0"/>
      <w:marTop w:val="0"/>
      <w:marBottom w:val="0"/>
      <w:divBdr>
        <w:top w:val="none" w:sz="0" w:space="0" w:color="auto"/>
        <w:left w:val="none" w:sz="0" w:space="0" w:color="auto"/>
        <w:bottom w:val="none" w:sz="0" w:space="0" w:color="auto"/>
        <w:right w:val="none" w:sz="0" w:space="0" w:color="auto"/>
      </w:divBdr>
    </w:div>
    <w:div w:id="1597248334">
      <w:bodyDiv w:val="1"/>
      <w:marLeft w:val="0"/>
      <w:marRight w:val="0"/>
      <w:marTop w:val="0"/>
      <w:marBottom w:val="0"/>
      <w:divBdr>
        <w:top w:val="none" w:sz="0" w:space="0" w:color="auto"/>
        <w:left w:val="none" w:sz="0" w:space="0" w:color="auto"/>
        <w:bottom w:val="none" w:sz="0" w:space="0" w:color="auto"/>
        <w:right w:val="none" w:sz="0" w:space="0" w:color="auto"/>
      </w:divBdr>
    </w:div>
    <w:div w:id="1712143408">
      <w:bodyDiv w:val="1"/>
      <w:marLeft w:val="0"/>
      <w:marRight w:val="0"/>
      <w:marTop w:val="0"/>
      <w:marBottom w:val="0"/>
      <w:divBdr>
        <w:top w:val="none" w:sz="0" w:space="0" w:color="auto"/>
        <w:left w:val="none" w:sz="0" w:space="0" w:color="auto"/>
        <w:bottom w:val="none" w:sz="0" w:space="0" w:color="auto"/>
        <w:right w:val="none" w:sz="0" w:space="0" w:color="auto"/>
      </w:divBdr>
    </w:div>
    <w:div w:id="1712991937">
      <w:bodyDiv w:val="1"/>
      <w:marLeft w:val="0"/>
      <w:marRight w:val="0"/>
      <w:marTop w:val="0"/>
      <w:marBottom w:val="0"/>
      <w:divBdr>
        <w:top w:val="none" w:sz="0" w:space="0" w:color="auto"/>
        <w:left w:val="none" w:sz="0" w:space="0" w:color="auto"/>
        <w:bottom w:val="none" w:sz="0" w:space="0" w:color="auto"/>
        <w:right w:val="none" w:sz="0" w:space="0" w:color="auto"/>
      </w:divBdr>
    </w:div>
    <w:div w:id="1809588579">
      <w:bodyDiv w:val="1"/>
      <w:marLeft w:val="0"/>
      <w:marRight w:val="0"/>
      <w:marTop w:val="0"/>
      <w:marBottom w:val="0"/>
      <w:divBdr>
        <w:top w:val="none" w:sz="0" w:space="0" w:color="auto"/>
        <w:left w:val="none" w:sz="0" w:space="0" w:color="auto"/>
        <w:bottom w:val="none" w:sz="0" w:space="0" w:color="auto"/>
        <w:right w:val="none" w:sz="0" w:space="0" w:color="auto"/>
      </w:divBdr>
    </w:div>
    <w:div w:id="1869487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facebook.com/MerchantsCapital/" TargetMode="External"/><Relationship Id="rId18" Type="http://schemas.openxmlformats.org/officeDocument/2006/relationships/hyperlink" Target="https://www.merchantscapital.com/merchants-capital-recognized-as-3-affordable-multifamily-lender-by-mortgage-bankers-association/"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investors.merchantsbancorp.com/corporate-profile/corporate-profile/default.aspx" TargetMode="External"/><Relationship Id="rId7" Type="http://schemas.openxmlformats.org/officeDocument/2006/relationships/webSettings" Target="webSettings.xml"/><Relationship Id="rId12" Type="http://schemas.openxmlformats.org/officeDocument/2006/relationships/hyperlink" Target="https://www.merchantscapital.com/" TargetMode="External"/><Relationship Id="rId17" Type="http://schemas.openxmlformats.org/officeDocument/2006/relationships/hyperlink" Target="https://www.instagram.com/merchantscapital/"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linkedin.com/company/merchantscapital/" TargetMode="External"/><Relationship Id="rId20" Type="http://schemas.openxmlformats.org/officeDocument/2006/relationships/hyperlink" Target="http://www.merchantscapital.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merchantscapital.com"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twitter.com/MerchantsCap"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yperlink" Target="http://www.merchantscapital.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twitter.com/MerchantsCap" TargetMode="External"/><Relationship Id="rId22" Type="http://schemas.openxmlformats.org/officeDocument/2006/relationships/header" Target="header1.xml"/><Relationship Id="rId27"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arsh\AppData\Roaming\Microsoft\Templates\Press%20release%20(Elegant%20design).dotx" TargetMode="External"/></Relationships>
</file>

<file path=word/theme/theme1.xml><?xml version="1.0" encoding="utf-8"?>
<a:theme xmlns:a="http://schemas.openxmlformats.org/drawingml/2006/main" name="Office Theme">
  <a:themeElements>
    <a:clrScheme name="Blue Red">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libri">
      <a:maj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2016-06-27T00:00:00</PublishDate>
  <Abstract/>
  <CompanyAddress/>
  <CompanyPhone>317-805-4356</CompanyPhone>
  <CompanyFax/>
  <CompanyEmail>rmarsh@merchantsbankofindiana.com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38858F-D953-47D9-942F-E5D04C71F820}">
  <ds:schemaRefs>
    <ds:schemaRef ds:uri="http://schemas.openxmlformats.org/officeDocument/2006/bibliography"/>
  </ds:schemaRefs>
</ds:datastoreItem>
</file>

<file path=customXml/itemProps3.xml><?xml version="1.0" encoding="utf-8"?>
<ds:datastoreItem xmlns:ds="http://schemas.openxmlformats.org/officeDocument/2006/customXml" ds:itemID="{7DA2923D-A04C-4EFC-A16D-9CC2165E3A8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Press release (Elegant design).dotx</Template>
  <TotalTime>10</TotalTime>
  <Pages>3</Pages>
  <Words>1124</Words>
  <Characters>6412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City of Indianapolis - Marion County</Company>
  <LinksUpToDate>false</LinksUpToDate>
  <CharactersWithSpaces>7521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Rebecca Marsh</dc:creator>
  <cp:lastModifiedBy>Rebecca Marsh</cp:lastModifiedBy>
  <cp:revision>11</cp:revision>
  <cp:lastPrinted>2019-08-19T15:23:00Z</cp:lastPrinted>
  <dcterms:created xsi:type="dcterms:W3CDTF">2025-01-28T15:03:00Z</dcterms:created>
  <dcterms:modified xsi:type="dcterms:W3CDTF">2025-01-28T15:34:00Z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TC034630859991</vt:lpwstr>
  </property>
</Properties>
</file>