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E7024" w14:textId="3E30CD20" w:rsidR="00173887" w:rsidRDefault="007441BE" w:rsidP="00173887">
      <w:pPr>
        <w:pStyle w:val="Heading1"/>
        <w:pBdr>
          <w:top w:val="single" w:sz="4" w:space="1" w:color="000000"/>
        </w:pBdr>
        <w:spacing w:before="280"/>
        <w:rPr>
          <w:rFonts w:ascii="Century Gothic" w:eastAsia="Century Gothic" w:hAnsi="Century Gothic" w:cs="Century Gothic"/>
          <w:color w:val="404040"/>
          <w:sz w:val="72"/>
          <w:szCs w:val="72"/>
        </w:rPr>
      </w:pPr>
      <w:r w:rsidRPr="00630474">
        <w:rPr>
          <w:noProof/>
          <w:color w:val="000000" w:themeColor="text1"/>
          <w:sz w:val="18"/>
        </w:rPr>
        <w:drawing>
          <wp:anchor distT="0" distB="0" distL="114300" distR="114300" simplePos="0" relativeHeight="251659265" behindDoc="1" locked="0" layoutInCell="1" allowOverlap="1" wp14:anchorId="63882FFD" wp14:editId="0E0B2610">
            <wp:simplePos x="0" y="0"/>
            <wp:positionH relativeFrom="margin">
              <wp:align>left</wp:align>
            </wp:positionH>
            <wp:positionV relativeFrom="paragraph">
              <wp:posOffset>-314325</wp:posOffset>
            </wp:positionV>
            <wp:extent cx="3922395" cy="390525"/>
            <wp:effectExtent l="0" t="0" r="190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logo-notag-PMS Center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2395" cy="390525"/>
                    </a:xfrm>
                    <a:prstGeom prst="rect">
                      <a:avLst/>
                    </a:prstGeom>
                  </pic:spPr>
                </pic:pic>
              </a:graphicData>
            </a:graphic>
          </wp:anchor>
        </w:drawing>
      </w:r>
      <w:r w:rsidR="00173887" w:rsidRPr="173F6235">
        <w:rPr>
          <w:rFonts w:ascii="Century Gothic" w:eastAsia="Century Gothic" w:hAnsi="Century Gothic" w:cs="Century Gothic"/>
          <w:color w:val="404040" w:themeColor="text1" w:themeTint="BF"/>
          <w:sz w:val="72"/>
          <w:szCs w:val="72"/>
        </w:rPr>
        <w:t>PRESS RELEASE</w:t>
      </w:r>
      <w:r w:rsidR="00AA0FE2">
        <w:rPr>
          <w:rFonts w:ascii="Century Gothic" w:eastAsia="Century Gothic" w:hAnsi="Century Gothic" w:cs="Century Gothic"/>
          <w:color w:val="404040" w:themeColor="text1" w:themeTint="BF"/>
          <w:sz w:val="72"/>
          <w:szCs w:val="72"/>
        </w:rPr>
        <w:t xml:space="preserve"> </w:t>
      </w:r>
    </w:p>
    <w:p w14:paraId="7A6B6A3B" w14:textId="1BDB74FD" w:rsidR="008107E9" w:rsidRDefault="00173887" w:rsidP="00E80E29">
      <w:pPr>
        <w:spacing w:after="0"/>
        <w:jc w:val="center"/>
        <w:rPr>
          <w:rFonts w:ascii="Century Gothic" w:eastAsia="Century Gothic" w:hAnsi="Century Gothic" w:cs="Century Gothic"/>
          <w:color w:val="73C167"/>
          <w:sz w:val="32"/>
          <w:szCs w:val="32"/>
        </w:rPr>
      </w:pPr>
      <w:r w:rsidRPr="64580B37">
        <w:rPr>
          <w:rFonts w:ascii="Century Gothic" w:eastAsia="Century Gothic" w:hAnsi="Century Gothic" w:cs="Century Gothic"/>
          <w:color w:val="73C167"/>
          <w:sz w:val="32"/>
          <w:szCs w:val="32"/>
        </w:rPr>
        <w:t xml:space="preserve">Merchants Capital </w:t>
      </w:r>
      <w:r w:rsidR="005A1857" w:rsidRPr="64580B37">
        <w:rPr>
          <w:rFonts w:ascii="Century Gothic" w:eastAsia="Century Gothic" w:hAnsi="Century Gothic" w:cs="Century Gothic"/>
          <w:color w:val="73C167"/>
          <w:sz w:val="32"/>
          <w:szCs w:val="32"/>
        </w:rPr>
        <w:t>Completes</w:t>
      </w:r>
      <w:r w:rsidR="008107E9" w:rsidRPr="64580B37">
        <w:rPr>
          <w:rFonts w:ascii="Century Gothic" w:eastAsia="Century Gothic" w:hAnsi="Century Gothic" w:cs="Century Gothic"/>
          <w:color w:val="73C167"/>
          <w:sz w:val="32"/>
          <w:szCs w:val="32"/>
        </w:rPr>
        <w:t xml:space="preserve"> </w:t>
      </w:r>
      <w:r w:rsidR="28692722" w:rsidRPr="64580B37">
        <w:rPr>
          <w:rFonts w:ascii="Century Gothic" w:eastAsia="Century Gothic" w:hAnsi="Century Gothic" w:cs="Century Gothic"/>
          <w:color w:val="73C167"/>
          <w:sz w:val="32"/>
          <w:szCs w:val="32"/>
        </w:rPr>
        <w:t xml:space="preserve">its </w:t>
      </w:r>
      <w:r w:rsidR="008107E9" w:rsidRPr="64580B37">
        <w:rPr>
          <w:rFonts w:ascii="Century Gothic" w:eastAsia="Century Gothic" w:hAnsi="Century Gothic" w:cs="Century Gothic"/>
          <w:color w:val="73C167"/>
          <w:sz w:val="32"/>
          <w:szCs w:val="32"/>
        </w:rPr>
        <w:t xml:space="preserve">Largest </w:t>
      </w:r>
    </w:p>
    <w:p w14:paraId="0A973B8C" w14:textId="2BDC0DED" w:rsidR="008107E9" w:rsidRDefault="002C7715" w:rsidP="008107E9">
      <w:pPr>
        <w:spacing w:after="0"/>
        <w:jc w:val="center"/>
        <w:rPr>
          <w:rFonts w:ascii="Century Gothic" w:eastAsia="Century Gothic" w:hAnsi="Century Gothic" w:cs="Century Gothic"/>
          <w:color w:val="73C167"/>
          <w:sz w:val="32"/>
          <w:szCs w:val="32"/>
        </w:rPr>
      </w:pPr>
      <w:r>
        <w:rPr>
          <w:rFonts w:ascii="Century Gothic" w:eastAsia="Century Gothic" w:hAnsi="Century Gothic" w:cs="Century Gothic"/>
          <w:color w:val="73C167"/>
          <w:sz w:val="32"/>
          <w:szCs w:val="32"/>
        </w:rPr>
        <w:t>Freddie Mac Q-Series Transaction</w:t>
      </w:r>
      <w:r w:rsidR="00B53C44">
        <w:rPr>
          <w:rFonts w:ascii="Century Gothic" w:eastAsia="Century Gothic" w:hAnsi="Century Gothic" w:cs="Century Gothic"/>
          <w:color w:val="73C167"/>
          <w:sz w:val="32"/>
          <w:szCs w:val="32"/>
        </w:rPr>
        <w:t xml:space="preserve"> </w:t>
      </w:r>
      <w:r w:rsidR="008107E9">
        <w:rPr>
          <w:rFonts w:ascii="Century Gothic" w:eastAsia="Century Gothic" w:hAnsi="Century Gothic" w:cs="Century Gothic"/>
          <w:color w:val="73C167"/>
          <w:sz w:val="32"/>
          <w:szCs w:val="32"/>
        </w:rPr>
        <w:t xml:space="preserve">Totaling $373.3M  </w:t>
      </w:r>
    </w:p>
    <w:p w14:paraId="3870F4F8" w14:textId="77777777" w:rsidR="004A5E16" w:rsidRDefault="004A5E16" w:rsidP="00E80E29">
      <w:pPr>
        <w:spacing w:after="0"/>
        <w:jc w:val="both"/>
        <w:rPr>
          <w:rFonts w:ascii="Calibri" w:eastAsia="Calibri" w:hAnsi="Calibri" w:cs="Calibri"/>
          <w:b/>
          <w:bCs/>
        </w:rPr>
      </w:pPr>
    </w:p>
    <w:p w14:paraId="2B92788E" w14:textId="147538F8" w:rsidR="00E80E29" w:rsidRDefault="00173887" w:rsidP="00AD3E92">
      <w:pPr>
        <w:spacing w:after="0"/>
        <w:jc w:val="both"/>
        <w:rPr>
          <w:rFonts w:ascii="Calibri" w:eastAsia="Calibri" w:hAnsi="Calibri" w:cs="Calibri"/>
        </w:rPr>
      </w:pPr>
      <w:r w:rsidRPr="64580B37">
        <w:rPr>
          <w:rFonts w:ascii="Calibri" w:eastAsia="Calibri" w:hAnsi="Calibri" w:cs="Calibri"/>
          <w:b/>
          <w:bCs/>
        </w:rPr>
        <w:t>CARMEL, Ind. (</w:t>
      </w:r>
      <w:r w:rsidR="003F2E97">
        <w:rPr>
          <w:rFonts w:ascii="Calibri" w:eastAsia="Calibri" w:hAnsi="Calibri" w:cs="Calibri"/>
          <w:b/>
          <w:bCs/>
        </w:rPr>
        <w:t>July</w:t>
      </w:r>
      <w:r w:rsidR="00AF6A10">
        <w:rPr>
          <w:rFonts w:ascii="Calibri" w:eastAsia="Calibri" w:hAnsi="Calibri" w:cs="Calibri"/>
          <w:b/>
          <w:bCs/>
        </w:rPr>
        <w:t xml:space="preserve"> 31</w:t>
      </w:r>
      <w:r w:rsidRPr="64580B37">
        <w:rPr>
          <w:rFonts w:ascii="Calibri" w:eastAsia="Calibri" w:hAnsi="Calibri" w:cs="Calibri"/>
          <w:b/>
          <w:bCs/>
        </w:rPr>
        <w:t>, 202</w:t>
      </w:r>
      <w:r w:rsidR="00805EE8" w:rsidRPr="64580B37">
        <w:rPr>
          <w:rFonts w:ascii="Calibri" w:eastAsia="Calibri" w:hAnsi="Calibri" w:cs="Calibri"/>
          <w:b/>
          <w:bCs/>
        </w:rPr>
        <w:t>5</w:t>
      </w:r>
      <w:r w:rsidRPr="00284E43">
        <w:rPr>
          <w:rFonts w:ascii="Calibri" w:eastAsia="Calibri" w:hAnsi="Calibri" w:cs="Calibri"/>
        </w:rPr>
        <w:t>)—</w:t>
      </w:r>
      <w:r w:rsidR="007441BE" w:rsidRPr="007441BE">
        <w:rPr>
          <w:rFonts w:ascii="Calibri" w:hAnsi="Calibri" w:cs="Calibri"/>
          <w:color w:val="000000"/>
          <w:shd w:val="clear" w:color="auto" w:fill="FFFFFF"/>
        </w:rPr>
        <w:t xml:space="preserve"> </w:t>
      </w:r>
      <w:r w:rsidR="007441BE" w:rsidRPr="007441BE">
        <w:rPr>
          <w:rFonts w:ascii="Calibri" w:eastAsia="Calibri" w:hAnsi="Calibri" w:cs="Calibri"/>
        </w:rPr>
        <w:t xml:space="preserve">(NASDAQ: MBIN) </w:t>
      </w:r>
      <w:r w:rsidRPr="64580B37">
        <w:rPr>
          <w:rFonts w:ascii="Calibri" w:eastAsia="Calibri" w:hAnsi="Calibri" w:cs="Calibri"/>
        </w:rPr>
        <w:t xml:space="preserve">Leading financial services provider </w:t>
      </w:r>
      <w:hyperlink r:id="rId8">
        <w:r w:rsidRPr="64580B37">
          <w:rPr>
            <w:rFonts w:ascii="Calibri" w:eastAsia="Calibri" w:hAnsi="Calibri" w:cs="Calibri"/>
            <w:color w:val="73C167"/>
          </w:rPr>
          <w:t>Merchants Capital</w:t>
        </w:r>
      </w:hyperlink>
      <w:hyperlink r:id="rId9">
        <w:r w:rsidRPr="64580B37">
          <w:rPr>
            <w:rFonts w:ascii="Calibri" w:eastAsia="Calibri" w:hAnsi="Calibri" w:cs="Calibri"/>
            <w:color w:val="1155CC"/>
          </w:rPr>
          <w:t xml:space="preserve"> </w:t>
        </w:r>
      </w:hyperlink>
      <w:r w:rsidRPr="64580B37">
        <w:rPr>
          <w:rFonts w:ascii="Calibri" w:eastAsia="Calibri" w:hAnsi="Calibri" w:cs="Calibri"/>
        </w:rPr>
        <w:t>today announced</w:t>
      </w:r>
      <w:r w:rsidR="003E7C6A" w:rsidRPr="64580B37">
        <w:rPr>
          <w:rFonts w:ascii="Calibri" w:eastAsia="Calibri" w:hAnsi="Calibri" w:cs="Calibri"/>
        </w:rPr>
        <w:t xml:space="preserve"> </w:t>
      </w:r>
      <w:r w:rsidR="00F900F1" w:rsidRPr="64580B37">
        <w:rPr>
          <w:rFonts w:ascii="Calibri" w:eastAsia="Calibri" w:hAnsi="Calibri" w:cs="Calibri"/>
        </w:rPr>
        <w:t>the completion</w:t>
      </w:r>
      <w:r w:rsidR="005A563A" w:rsidRPr="64580B37">
        <w:rPr>
          <w:rFonts w:ascii="Calibri" w:eastAsia="Calibri" w:hAnsi="Calibri" w:cs="Calibri"/>
        </w:rPr>
        <w:t xml:space="preserve"> </w:t>
      </w:r>
      <w:r w:rsidR="00F900F1" w:rsidRPr="64580B37">
        <w:rPr>
          <w:rFonts w:ascii="Calibri" w:eastAsia="Calibri" w:hAnsi="Calibri" w:cs="Calibri"/>
        </w:rPr>
        <w:t xml:space="preserve">of </w:t>
      </w:r>
      <w:r w:rsidR="00C33907" w:rsidRPr="64580B37">
        <w:rPr>
          <w:rFonts w:ascii="Calibri" w:eastAsia="Calibri" w:hAnsi="Calibri" w:cs="Calibri"/>
        </w:rPr>
        <w:t>its</w:t>
      </w:r>
      <w:r w:rsidR="007A797B" w:rsidRPr="64580B37">
        <w:rPr>
          <w:rFonts w:ascii="Calibri" w:eastAsia="Calibri" w:hAnsi="Calibri" w:cs="Calibri"/>
        </w:rPr>
        <w:t xml:space="preserve"> </w:t>
      </w:r>
      <w:r w:rsidR="0078563B" w:rsidRPr="64580B37">
        <w:rPr>
          <w:rFonts w:ascii="Calibri" w:eastAsia="Calibri" w:hAnsi="Calibri" w:cs="Calibri"/>
        </w:rPr>
        <w:t>sixth</w:t>
      </w:r>
      <w:r w:rsidR="007A797B" w:rsidRPr="64580B37">
        <w:rPr>
          <w:rFonts w:ascii="Calibri" w:eastAsia="Calibri" w:hAnsi="Calibri" w:cs="Calibri"/>
        </w:rPr>
        <w:t xml:space="preserve"> </w:t>
      </w:r>
      <w:r w:rsidR="00C33907" w:rsidRPr="64580B37">
        <w:rPr>
          <w:rFonts w:ascii="Calibri" w:eastAsia="Calibri" w:hAnsi="Calibri" w:cs="Calibri"/>
        </w:rPr>
        <w:t>Freddie Mac</w:t>
      </w:r>
      <w:r w:rsidR="00905967" w:rsidRPr="64580B37">
        <w:rPr>
          <w:rFonts w:ascii="Calibri" w:eastAsia="Calibri" w:hAnsi="Calibri" w:cs="Calibri"/>
        </w:rPr>
        <w:t xml:space="preserve">-sponsored </w:t>
      </w:r>
      <w:r w:rsidR="00C33907" w:rsidRPr="64580B37">
        <w:rPr>
          <w:rFonts w:ascii="Calibri" w:eastAsia="Calibri" w:hAnsi="Calibri" w:cs="Calibri"/>
        </w:rPr>
        <w:t xml:space="preserve">Q-Series transaction, a </w:t>
      </w:r>
      <w:r w:rsidR="00F900F1" w:rsidRPr="64580B37">
        <w:rPr>
          <w:rFonts w:ascii="Calibri" w:eastAsia="Calibri" w:hAnsi="Calibri" w:cs="Calibri"/>
        </w:rPr>
        <w:t>$3</w:t>
      </w:r>
      <w:r w:rsidR="00E1260D" w:rsidRPr="64580B37">
        <w:rPr>
          <w:rFonts w:ascii="Calibri" w:eastAsia="Calibri" w:hAnsi="Calibri" w:cs="Calibri"/>
        </w:rPr>
        <w:t>73.3</w:t>
      </w:r>
      <w:r w:rsidR="00F900F1" w:rsidRPr="64580B37">
        <w:rPr>
          <w:rFonts w:ascii="Calibri" w:eastAsia="Calibri" w:hAnsi="Calibri" w:cs="Calibri"/>
        </w:rPr>
        <w:t xml:space="preserve"> million </w:t>
      </w:r>
      <w:r w:rsidR="00832C5C" w:rsidRPr="64580B37">
        <w:rPr>
          <w:rFonts w:ascii="Calibri" w:eastAsia="Calibri" w:hAnsi="Calibri" w:cs="Calibri"/>
        </w:rPr>
        <w:t>securitization</w:t>
      </w:r>
      <w:r w:rsidR="00D33E19" w:rsidRPr="64580B37">
        <w:rPr>
          <w:rFonts w:ascii="Calibri" w:eastAsia="Calibri" w:hAnsi="Calibri" w:cs="Calibri"/>
        </w:rPr>
        <w:t xml:space="preserve"> </w:t>
      </w:r>
      <w:r w:rsidR="00832C5C" w:rsidRPr="64580B37">
        <w:rPr>
          <w:rFonts w:ascii="Calibri" w:eastAsia="Calibri" w:hAnsi="Calibri" w:cs="Calibri"/>
        </w:rPr>
        <w:t xml:space="preserve">of </w:t>
      </w:r>
      <w:r w:rsidR="003235BB" w:rsidRPr="64580B37">
        <w:rPr>
          <w:rFonts w:ascii="Calibri" w:eastAsia="Calibri" w:hAnsi="Calibri" w:cs="Calibri"/>
        </w:rPr>
        <w:t>18</w:t>
      </w:r>
      <w:r w:rsidR="000646A2" w:rsidRPr="64580B37">
        <w:rPr>
          <w:rFonts w:ascii="Calibri" w:eastAsia="Calibri" w:hAnsi="Calibri" w:cs="Calibri"/>
        </w:rPr>
        <w:t xml:space="preserve"> stabilized</w:t>
      </w:r>
      <w:r w:rsidR="003A2BF5" w:rsidRPr="64580B37">
        <w:rPr>
          <w:rFonts w:ascii="Calibri" w:eastAsia="Calibri" w:hAnsi="Calibri" w:cs="Calibri"/>
        </w:rPr>
        <w:t xml:space="preserve"> multifamily mortgage loans</w:t>
      </w:r>
      <w:r w:rsidR="000575FC" w:rsidRPr="64580B37">
        <w:rPr>
          <w:rFonts w:ascii="Calibri" w:eastAsia="Calibri" w:hAnsi="Calibri" w:cs="Calibri"/>
        </w:rPr>
        <w:t>—the largest number of loans</w:t>
      </w:r>
      <w:r w:rsidR="00A63214" w:rsidRPr="64580B37">
        <w:rPr>
          <w:rFonts w:ascii="Calibri" w:eastAsia="Calibri" w:hAnsi="Calibri" w:cs="Calibri"/>
        </w:rPr>
        <w:t xml:space="preserve"> </w:t>
      </w:r>
      <w:r w:rsidR="24C1D504" w:rsidRPr="64580B37">
        <w:rPr>
          <w:rFonts w:ascii="Calibri" w:eastAsia="Calibri" w:hAnsi="Calibri" w:cs="Calibri"/>
        </w:rPr>
        <w:t>Merchants Capital</w:t>
      </w:r>
      <w:r w:rsidR="00A63214" w:rsidRPr="64580B37">
        <w:rPr>
          <w:rFonts w:ascii="Calibri" w:eastAsia="Calibri" w:hAnsi="Calibri" w:cs="Calibri"/>
        </w:rPr>
        <w:t xml:space="preserve"> has sec</w:t>
      </w:r>
      <w:r w:rsidR="00AB22DB" w:rsidRPr="64580B37">
        <w:rPr>
          <w:rFonts w:ascii="Calibri" w:eastAsia="Calibri" w:hAnsi="Calibri" w:cs="Calibri"/>
        </w:rPr>
        <w:t>uritized</w:t>
      </w:r>
      <w:r w:rsidR="000575FC" w:rsidRPr="64580B37">
        <w:rPr>
          <w:rFonts w:ascii="Calibri" w:eastAsia="Calibri" w:hAnsi="Calibri" w:cs="Calibri"/>
        </w:rPr>
        <w:t xml:space="preserve"> in a single </w:t>
      </w:r>
      <w:r w:rsidR="00A63214" w:rsidRPr="64580B37">
        <w:rPr>
          <w:rFonts w:ascii="Calibri" w:eastAsia="Calibri" w:hAnsi="Calibri" w:cs="Calibri"/>
        </w:rPr>
        <w:t>Q-</w:t>
      </w:r>
      <w:r w:rsidR="004658AC">
        <w:rPr>
          <w:rFonts w:ascii="Calibri" w:eastAsia="Calibri" w:hAnsi="Calibri" w:cs="Calibri"/>
        </w:rPr>
        <w:t>S</w:t>
      </w:r>
      <w:r w:rsidR="00A63214" w:rsidRPr="64580B37">
        <w:rPr>
          <w:rFonts w:ascii="Calibri" w:eastAsia="Calibri" w:hAnsi="Calibri" w:cs="Calibri"/>
        </w:rPr>
        <w:t>eries</w:t>
      </w:r>
      <w:r w:rsidR="00AB22DB" w:rsidRPr="64580B37">
        <w:rPr>
          <w:rFonts w:ascii="Calibri" w:eastAsia="Calibri" w:hAnsi="Calibri" w:cs="Calibri"/>
        </w:rPr>
        <w:t xml:space="preserve"> transaction. </w:t>
      </w:r>
      <w:r w:rsidR="000E7062" w:rsidRPr="64580B37">
        <w:rPr>
          <w:rFonts w:ascii="Calibri" w:eastAsia="Calibri" w:hAnsi="Calibri" w:cs="Calibri"/>
        </w:rPr>
        <w:t xml:space="preserve">It is </w:t>
      </w:r>
      <w:r w:rsidR="00EE7FFC" w:rsidRPr="64580B37">
        <w:rPr>
          <w:rFonts w:ascii="Calibri" w:eastAsia="Calibri" w:hAnsi="Calibri" w:cs="Calibri"/>
        </w:rPr>
        <w:t>also</w:t>
      </w:r>
      <w:r w:rsidR="00BD5C02" w:rsidRPr="64580B37">
        <w:rPr>
          <w:rFonts w:ascii="Calibri" w:eastAsia="Calibri" w:hAnsi="Calibri" w:cs="Calibri"/>
        </w:rPr>
        <w:t xml:space="preserve"> </w:t>
      </w:r>
      <w:r w:rsidR="07877E41" w:rsidRPr="64580B37">
        <w:rPr>
          <w:rFonts w:ascii="Calibri" w:eastAsia="Calibri" w:hAnsi="Calibri" w:cs="Calibri"/>
        </w:rPr>
        <w:t>Merchants Capital’s</w:t>
      </w:r>
      <w:r w:rsidR="00147F73" w:rsidRPr="64580B37">
        <w:rPr>
          <w:rFonts w:ascii="Calibri" w:eastAsia="Calibri" w:hAnsi="Calibri" w:cs="Calibri"/>
        </w:rPr>
        <w:t xml:space="preserve"> largest</w:t>
      </w:r>
      <w:r w:rsidR="001929AB" w:rsidRPr="64580B37">
        <w:rPr>
          <w:rFonts w:ascii="Calibri" w:eastAsia="Calibri" w:hAnsi="Calibri" w:cs="Calibri"/>
        </w:rPr>
        <w:t xml:space="preserve"> </w:t>
      </w:r>
      <w:r w:rsidR="00785175" w:rsidRPr="64580B37">
        <w:rPr>
          <w:rFonts w:ascii="Calibri" w:eastAsia="Calibri" w:hAnsi="Calibri" w:cs="Calibri"/>
        </w:rPr>
        <w:t>Q</w:t>
      </w:r>
      <w:r w:rsidR="006C6D9A" w:rsidRPr="64580B37">
        <w:rPr>
          <w:rFonts w:ascii="Calibri" w:eastAsia="Calibri" w:hAnsi="Calibri" w:cs="Calibri"/>
        </w:rPr>
        <w:t xml:space="preserve">-Series </w:t>
      </w:r>
      <w:r w:rsidR="00630FD9" w:rsidRPr="64580B37">
        <w:rPr>
          <w:rFonts w:ascii="Calibri" w:eastAsia="Calibri" w:hAnsi="Calibri" w:cs="Calibri"/>
        </w:rPr>
        <w:t xml:space="preserve">closing </w:t>
      </w:r>
      <w:r w:rsidR="00CA2AF8" w:rsidRPr="64580B37">
        <w:rPr>
          <w:rFonts w:ascii="Calibri" w:eastAsia="Calibri" w:hAnsi="Calibri" w:cs="Calibri"/>
        </w:rPr>
        <w:t>to date</w:t>
      </w:r>
      <w:r w:rsidR="00AB22DB" w:rsidRPr="64580B37">
        <w:rPr>
          <w:rFonts w:ascii="Calibri" w:eastAsia="Calibri" w:hAnsi="Calibri" w:cs="Calibri"/>
        </w:rPr>
        <w:t xml:space="preserve">. </w:t>
      </w:r>
    </w:p>
    <w:p w14:paraId="677A5959" w14:textId="77777777" w:rsidR="00E80E29" w:rsidRDefault="00E80E29" w:rsidP="00AD3E92">
      <w:pPr>
        <w:spacing w:after="0"/>
        <w:jc w:val="both"/>
        <w:rPr>
          <w:rFonts w:ascii="Calibri" w:eastAsia="Calibri" w:hAnsi="Calibri" w:cs="Calibri"/>
        </w:rPr>
      </w:pPr>
    </w:p>
    <w:p w14:paraId="76D5F5CD" w14:textId="390E35D3" w:rsidR="00506049" w:rsidRDefault="009869D4" w:rsidP="00AD3E92">
      <w:pPr>
        <w:spacing w:after="0"/>
        <w:jc w:val="both"/>
        <w:rPr>
          <w:rFonts w:ascii="Calibri" w:eastAsia="Calibri" w:hAnsi="Calibri" w:cs="Calibri"/>
        </w:rPr>
      </w:pPr>
      <w:r w:rsidRPr="64580B37">
        <w:rPr>
          <w:rFonts w:ascii="Calibri" w:eastAsia="Calibri" w:hAnsi="Calibri" w:cs="Calibri"/>
        </w:rPr>
        <w:t>The</w:t>
      </w:r>
      <w:r w:rsidR="00200E03" w:rsidRPr="64580B37">
        <w:rPr>
          <w:rFonts w:ascii="Calibri" w:eastAsia="Calibri" w:hAnsi="Calibri" w:cs="Calibri"/>
        </w:rPr>
        <w:t xml:space="preserve"> loans </w:t>
      </w:r>
      <w:r w:rsidR="00C941A8" w:rsidRPr="64580B37">
        <w:rPr>
          <w:rFonts w:ascii="Calibri" w:eastAsia="Calibri" w:hAnsi="Calibri" w:cs="Calibri"/>
        </w:rPr>
        <w:t>comprise</w:t>
      </w:r>
      <w:r w:rsidR="00200E03" w:rsidRPr="64580B37">
        <w:rPr>
          <w:rFonts w:ascii="Calibri" w:eastAsia="Calibri" w:hAnsi="Calibri" w:cs="Calibri"/>
        </w:rPr>
        <w:t xml:space="preserve"> </w:t>
      </w:r>
      <w:r w:rsidR="00C6276B" w:rsidRPr="64580B37">
        <w:rPr>
          <w:rFonts w:ascii="Calibri" w:eastAsia="Calibri" w:hAnsi="Calibri" w:cs="Calibri"/>
        </w:rPr>
        <w:t>3,047</w:t>
      </w:r>
      <w:r w:rsidR="00FC3D6A" w:rsidRPr="64580B37">
        <w:rPr>
          <w:rFonts w:ascii="Calibri" w:eastAsia="Calibri" w:hAnsi="Calibri" w:cs="Calibri"/>
        </w:rPr>
        <w:t xml:space="preserve"> </w:t>
      </w:r>
      <w:r w:rsidR="00C941A8" w:rsidRPr="64580B37">
        <w:rPr>
          <w:rFonts w:ascii="Calibri" w:eastAsia="Calibri" w:hAnsi="Calibri" w:cs="Calibri"/>
        </w:rPr>
        <w:t xml:space="preserve">multifamily </w:t>
      </w:r>
      <w:r w:rsidR="00FC3D6A" w:rsidRPr="64580B37">
        <w:rPr>
          <w:rFonts w:ascii="Calibri" w:eastAsia="Calibri" w:hAnsi="Calibri" w:cs="Calibri"/>
        </w:rPr>
        <w:t xml:space="preserve">units </w:t>
      </w:r>
      <w:r w:rsidR="00D944C1" w:rsidRPr="64580B37">
        <w:rPr>
          <w:rFonts w:ascii="Calibri" w:eastAsia="Calibri" w:hAnsi="Calibri" w:cs="Calibri"/>
        </w:rPr>
        <w:t xml:space="preserve">with </w:t>
      </w:r>
      <w:r w:rsidR="00C941A8" w:rsidRPr="64580B37">
        <w:rPr>
          <w:rFonts w:ascii="Calibri" w:eastAsia="Calibri" w:hAnsi="Calibri" w:cs="Calibri"/>
        </w:rPr>
        <w:t>significant</w:t>
      </w:r>
      <w:r w:rsidR="00932498" w:rsidRPr="64580B37">
        <w:rPr>
          <w:rFonts w:ascii="Calibri" w:eastAsia="Calibri" w:hAnsi="Calibri" w:cs="Calibri"/>
        </w:rPr>
        <w:t xml:space="preserve"> </w:t>
      </w:r>
      <w:r w:rsidR="00D944C1" w:rsidRPr="64580B37">
        <w:rPr>
          <w:rFonts w:ascii="Calibri" w:eastAsia="Calibri" w:hAnsi="Calibri" w:cs="Calibri"/>
        </w:rPr>
        <w:t>concentrations</w:t>
      </w:r>
      <w:r w:rsidR="00662F1B" w:rsidRPr="64580B37">
        <w:rPr>
          <w:rFonts w:ascii="Calibri" w:eastAsia="Calibri" w:hAnsi="Calibri" w:cs="Calibri"/>
        </w:rPr>
        <w:t xml:space="preserve"> </w:t>
      </w:r>
      <w:r w:rsidR="00D944C1" w:rsidRPr="64580B37">
        <w:rPr>
          <w:rFonts w:ascii="Calibri" w:eastAsia="Calibri" w:hAnsi="Calibri" w:cs="Calibri"/>
        </w:rPr>
        <w:t xml:space="preserve">in </w:t>
      </w:r>
      <w:r w:rsidR="00227E54" w:rsidRPr="64580B37">
        <w:rPr>
          <w:rFonts w:ascii="Calibri" w:eastAsia="Calibri" w:hAnsi="Calibri" w:cs="Calibri"/>
        </w:rPr>
        <w:t>Indiana, Iowa, Florida and South Carolina</w:t>
      </w:r>
      <w:r w:rsidR="002C26B1" w:rsidRPr="64580B37">
        <w:rPr>
          <w:rFonts w:ascii="Calibri" w:eastAsia="Calibri" w:hAnsi="Calibri" w:cs="Calibri"/>
        </w:rPr>
        <w:t xml:space="preserve">. </w:t>
      </w:r>
      <w:r w:rsidR="0052682E" w:rsidRPr="64580B37">
        <w:rPr>
          <w:rFonts w:ascii="Calibri" w:eastAsia="Calibri" w:hAnsi="Calibri" w:cs="Calibri"/>
        </w:rPr>
        <w:t xml:space="preserve">More than </w:t>
      </w:r>
      <w:r w:rsidR="001F4B6B" w:rsidRPr="64580B37">
        <w:rPr>
          <w:rFonts w:ascii="Calibri" w:eastAsia="Calibri" w:hAnsi="Calibri" w:cs="Calibri"/>
        </w:rPr>
        <w:t xml:space="preserve">64% of the units are </w:t>
      </w:r>
      <w:r w:rsidR="00C941A8" w:rsidRPr="64580B37">
        <w:rPr>
          <w:rFonts w:ascii="Calibri" w:eastAsia="Calibri" w:hAnsi="Calibri" w:cs="Calibri"/>
        </w:rPr>
        <w:t>designated as affordable housing, reserved for</w:t>
      </w:r>
      <w:r w:rsidR="001F4B6B" w:rsidRPr="64580B37">
        <w:rPr>
          <w:rFonts w:ascii="Calibri" w:eastAsia="Calibri" w:hAnsi="Calibri" w:cs="Calibri"/>
        </w:rPr>
        <w:t xml:space="preserve"> households earning</w:t>
      </w:r>
      <w:r w:rsidR="30E1EF41" w:rsidRPr="64580B37">
        <w:rPr>
          <w:rFonts w:ascii="Calibri" w:eastAsia="Calibri" w:hAnsi="Calibri" w:cs="Calibri"/>
        </w:rPr>
        <w:t xml:space="preserve"> at or</w:t>
      </w:r>
      <w:r w:rsidR="001F4B6B" w:rsidRPr="64580B37">
        <w:rPr>
          <w:rFonts w:ascii="Calibri" w:eastAsia="Calibri" w:hAnsi="Calibri" w:cs="Calibri"/>
        </w:rPr>
        <w:t xml:space="preserve"> below 80%</w:t>
      </w:r>
      <w:r w:rsidR="00AC7C71" w:rsidRPr="64580B37">
        <w:rPr>
          <w:rFonts w:ascii="Calibri" w:eastAsia="Calibri" w:hAnsi="Calibri" w:cs="Calibri"/>
        </w:rPr>
        <w:t xml:space="preserve"> of the </w:t>
      </w:r>
      <w:r w:rsidR="00AC7C71">
        <w:t xml:space="preserve">area median income (AMI). </w:t>
      </w:r>
      <w:r w:rsidR="00084733" w:rsidRPr="64580B37">
        <w:rPr>
          <w:rFonts w:ascii="Calibri" w:eastAsia="Calibri" w:hAnsi="Calibri" w:cs="Calibri"/>
        </w:rPr>
        <w:t xml:space="preserve"> </w:t>
      </w:r>
    </w:p>
    <w:p w14:paraId="79A03225" w14:textId="6F361F72" w:rsidR="00077BEB" w:rsidRDefault="00077BEB" w:rsidP="00AD3E92">
      <w:pPr>
        <w:spacing w:after="0"/>
        <w:jc w:val="both"/>
      </w:pPr>
    </w:p>
    <w:p w14:paraId="74B13BB0" w14:textId="7E8AB07F" w:rsidR="008C4A5D" w:rsidRDefault="004B6112" w:rsidP="00AD3E92">
      <w:pPr>
        <w:spacing w:after="0"/>
        <w:jc w:val="both"/>
        <w:rPr>
          <w:rFonts w:ascii="Calibri" w:eastAsia="Calibri" w:hAnsi="Calibri" w:cs="Calibri"/>
        </w:rPr>
      </w:pPr>
      <w:r>
        <w:rPr>
          <w:rFonts w:ascii="Calibri" w:eastAsia="Calibri" w:hAnsi="Calibri" w:cs="Calibri"/>
        </w:rPr>
        <w:t xml:space="preserve">Merchants Capital is among </w:t>
      </w:r>
      <w:r w:rsidR="00A147F0">
        <w:rPr>
          <w:rFonts w:ascii="Calibri" w:eastAsia="Calibri" w:hAnsi="Calibri" w:cs="Calibri"/>
        </w:rPr>
        <w:t xml:space="preserve">the most </w:t>
      </w:r>
      <w:r w:rsidR="00B55960" w:rsidRPr="64580B37">
        <w:rPr>
          <w:rFonts w:ascii="Calibri" w:eastAsia="Calibri" w:hAnsi="Calibri" w:cs="Calibri"/>
        </w:rPr>
        <w:t xml:space="preserve">active </w:t>
      </w:r>
      <w:hyperlink r:id="rId10" w:history="1">
        <w:r w:rsidR="00A147F0" w:rsidRPr="00237201">
          <w:rPr>
            <w:rStyle w:val="Hyperlink"/>
            <w:rFonts w:ascii="Calibri" w:eastAsia="Calibri" w:hAnsi="Calibri" w:cs="Calibri"/>
            <w:color w:val="73C167"/>
          </w:rPr>
          <w:t>Freddie Mac Q-Series issuers</w:t>
        </w:r>
      </w:hyperlink>
      <w:r w:rsidR="00A147F0">
        <w:rPr>
          <w:rFonts w:ascii="Calibri" w:eastAsia="Calibri" w:hAnsi="Calibri" w:cs="Calibri"/>
        </w:rPr>
        <w:t xml:space="preserve">. </w:t>
      </w:r>
      <w:r w:rsidR="00D223BC">
        <w:rPr>
          <w:rFonts w:ascii="Calibri" w:eastAsia="Calibri" w:hAnsi="Calibri" w:cs="Calibri"/>
        </w:rPr>
        <w:t>Since April 2021</w:t>
      </w:r>
      <w:r w:rsidR="002E18B4">
        <w:rPr>
          <w:rFonts w:ascii="Calibri" w:eastAsia="Calibri" w:hAnsi="Calibri" w:cs="Calibri"/>
        </w:rPr>
        <w:t xml:space="preserve"> when it entered </w:t>
      </w:r>
      <w:r w:rsidR="00AA25B4">
        <w:rPr>
          <w:rFonts w:ascii="Calibri" w:eastAsia="Calibri" w:hAnsi="Calibri" w:cs="Calibri"/>
        </w:rPr>
        <w:t>the program</w:t>
      </w:r>
      <w:r w:rsidR="00D223BC">
        <w:rPr>
          <w:rFonts w:ascii="Calibri" w:eastAsia="Calibri" w:hAnsi="Calibri" w:cs="Calibri"/>
        </w:rPr>
        <w:t xml:space="preserve">, </w:t>
      </w:r>
      <w:r w:rsidR="009B725D">
        <w:rPr>
          <w:rFonts w:ascii="Calibri" w:eastAsia="Calibri" w:hAnsi="Calibri" w:cs="Calibri"/>
        </w:rPr>
        <w:t>Merchants</w:t>
      </w:r>
      <w:r w:rsidR="008D2D2E">
        <w:rPr>
          <w:rFonts w:ascii="Calibri" w:eastAsia="Calibri" w:hAnsi="Calibri" w:cs="Calibri"/>
        </w:rPr>
        <w:t xml:space="preserve"> has securitized</w:t>
      </w:r>
      <w:r w:rsidR="006C2E14">
        <w:rPr>
          <w:rFonts w:ascii="Calibri" w:eastAsia="Calibri" w:hAnsi="Calibri" w:cs="Calibri"/>
        </w:rPr>
        <w:t xml:space="preserve"> 87 loans</w:t>
      </w:r>
      <w:r w:rsidR="00A53CAF">
        <w:rPr>
          <w:rFonts w:ascii="Calibri" w:eastAsia="Calibri" w:hAnsi="Calibri" w:cs="Calibri"/>
        </w:rPr>
        <w:t xml:space="preserve"> totaling $</w:t>
      </w:r>
      <w:r w:rsidR="00F73EA2">
        <w:rPr>
          <w:rFonts w:ascii="Calibri" w:eastAsia="Calibri" w:hAnsi="Calibri" w:cs="Calibri"/>
        </w:rPr>
        <w:t>1.76 billion</w:t>
      </w:r>
      <w:r w:rsidR="008F6610">
        <w:rPr>
          <w:rFonts w:ascii="Calibri" w:eastAsia="Calibri" w:hAnsi="Calibri" w:cs="Calibri"/>
        </w:rPr>
        <w:t>.</w:t>
      </w:r>
      <w:r w:rsidR="00F73EA2">
        <w:rPr>
          <w:rFonts w:ascii="Calibri" w:eastAsia="Calibri" w:hAnsi="Calibri" w:cs="Calibri"/>
        </w:rPr>
        <w:t xml:space="preserve"> </w:t>
      </w:r>
    </w:p>
    <w:p w14:paraId="03BC4CAF" w14:textId="2A32DED7" w:rsidR="00AC6D56" w:rsidRPr="00261E04" w:rsidRDefault="00AC6D56" w:rsidP="00AD3E92">
      <w:pPr>
        <w:spacing w:after="0"/>
        <w:jc w:val="both"/>
        <w:rPr>
          <w:rFonts w:ascii="Calibri" w:eastAsia="Calibri" w:hAnsi="Calibri" w:cs="Calibri"/>
        </w:rPr>
      </w:pPr>
    </w:p>
    <w:p w14:paraId="55B4ED3B" w14:textId="4AF059B5" w:rsidR="009314E1" w:rsidRDefault="009314E1" w:rsidP="00AD3E92">
      <w:pPr>
        <w:spacing w:after="0"/>
        <w:jc w:val="both"/>
        <w:rPr>
          <w:rFonts w:ascii="Calibri" w:eastAsia="Calibri" w:hAnsi="Calibri" w:cs="Calibri"/>
        </w:rPr>
      </w:pPr>
      <w:r>
        <w:rPr>
          <w:rFonts w:ascii="Calibri" w:eastAsia="Calibri" w:hAnsi="Calibri" w:cs="Calibri"/>
        </w:rPr>
        <w:t>“</w:t>
      </w:r>
      <w:r w:rsidR="001A4D67">
        <w:rPr>
          <w:rFonts w:ascii="Calibri" w:eastAsia="Calibri" w:hAnsi="Calibri" w:cs="Calibri"/>
        </w:rPr>
        <w:t>Freddie Mac</w:t>
      </w:r>
      <w:r w:rsidR="009671CA">
        <w:rPr>
          <w:rFonts w:ascii="Calibri" w:eastAsia="Calibri" w:hAnsi="Calibri" w:cs="Calibri"/>
        </w:rPr>
        <w:t xml:space="preserve"> products and</w:t>
      </w:r>
      <w:r w:rsidR="001A4D67">
        <w:rPr>
          <w:rFonts w:ascii="Calibri" w:eastAsia="Calibri" w:hAnsi="Calibri" w:cs="Calibri"/>
        </w:rPr>
        <w:t xml:space="preserve"> Q-</w:t>
      </w:r>
      <w:r w:rsidR="007C6C08">
        <w:rPr>
          <w:rFonts w:ascii="Calibri" w:eastAsia="Calibri" w:hAnsi="Calibri" w:cs="Calibri"/>
        </w:rPr>
        <w:t>S</w:t>
      </w:r>
      <w:r w:rsidR="001A4D67">
        <w:rPr>
          <w:rFonts w:ascii="Calibri" w:eastAsia="Calibri" w:hAnsi="Calibri" w:cs="Calibri"/>
        </w:rPr>
        <w:t>eries transactions have increased Merchants</w:t>
      </w:r>
      <w:r w:rsidR="00190D12">
        <w:rPr>
          <w:rFonts w:ascii="Calibri" w:eastAsia="Calibri" w:hAnsi="Calibri" w:cs="Calibri"/>
        </w:rPr>
        <w:t>’</w:t>
      </w:r>
      <w:r w:rsidR="001A4D67">
        <w:rPr>
          <w:rFonts w:ascii="Calibri" w:eastAsia="Calibri" w:hAnsi="Calibri" w:cs="Calibri"/>
        </w:rPr>
        <w:t xml:space="preserve"> lending </w:t>
      </w:r>
      <w:r w:rsidR="009671CA">
        <w:rPr>
          <w:rFonts w:ascii="Calibri" w:eastAsia="Calibri" w:hAnsi="Calibri" w:cs="Calibri"/>
        </w:rPr>
        <w:t xml:space="preserve">capacity </w:t>
      </w:r>
      <w:r w:rsidR="00190D12">
        <w:rPr>
          <w:rFonts w:ascii="Calibri" w:eastAsia="Calibri" w:hAnsi="Calibri" w:cs="Calibri"/>
        </w:rPr>
        <w:t xml:space="preserve">and </w:t>
      </w:r>
      <w:r w:rsidR="00EA07CE">
        <w:rPr>
          <w:rFonts w:ascii="Calibri" w:eastAsia="Calibri" w:hAnsi="Calibri" w:cs="Calibri"/>
        </w:rPr>
        <w:t>innovation in devising multifamily and affordable housing finan</w:t>
      </w:r>
      <w:r w:rsidR="008805D8">
        <w:rPr>
          <w:rFonts w:ascii="Calibri" w:eastAsia="Calibri" w:hAnsi="Calibri" w:cs="Calibri"/>
        </w:rPr>
        <w:t xml:space="preserve">cing solutions,” </w:t>
      </w:r>
      <w:r w:rsidR="0017642D">
        <w:rPr>
          <w:rFonts w:ascii="Calibri" w:eastAsia="Calibri" w:hAnsi="Calibri" w:cs="Calibri"/>
        </w:rPr>
        <w:t>said Evan Gibson,</w:t>
      </w:r>
      <w:r w:rsidR="0017642D" w:rsidRPr="001D1C5A">
        <w:rPr>
          <w:rFonts w:ascii="Calibri" w:eastAsia="Calibri" w:hAnsi="Calibri" w:cs="Calibri"/>
        </w:rPr>
        <w:t xml:space="preserve"> Merchants Capital’s </w:t>
      </w:r>
      <w:r w:rsidR="0017642D">
        <w:rPr>
          <w:rFonts w:ascii="Calibri" w:eastAsia="Calibri" w:hAnsi="Calibri" w:cs="Calibri"/>
        </w:rPr>
        <w:t xml:space="preserve">Executive Vice President of </w:t>
      </w:r>
      <w:r w:rsidR="0017642D" w:rsidRPr="001D1C5A">
        <w:rPr>
          <w:rFonts w:ascii="Calibri" w:eastAsia="Calibri" w:hAnsi="Calibri" w:cs="Calibri"/>
        </w:rPr>
        <w:t>Capital Markets</w:t>
      </w:r>
      <w:r w:rsidR="0017642D">
        <w:rPr>
          <w:rFonts w:ascii="Calibri" w:eastAsia="Calibri" w:hAnsi="Calibri" w:cs="Calibri"/>
        </w:rPr>
        <w:t xml:space="preserve">. </w:t>
      </w:r>
      <w:r w:rsidR="004D08C0">
        <w:rPr>
          <w:rFonts w:ascii="Calibri" w:eastAsia="Calibri" w:hAnsi="Calibri" w:cs="Calibri"/>
        </w:rPr>
        <w:t xml:space="preserve">“We are grateful for </w:t>
      </w:r>
      <w:r w:rsidR="004050AB">
        <w:rPr>
          <w:rFonts w:ascii="Calibri" w:eastAsia="Calibri" w:hAnsi="Calibri" w:cs="Calibri"/>
        </w:rPr>
        <w:t>our partnership</w:t>
      </w:r>
      <w:r w:rsidR="00CB639A">
        <w:rPr>
          <w:rFonts w:ascii="Calibri" w:eastAsia="Calibri" w:hAnsi="Calibri" w:cs="Calibri"/>
        </w:rPr>
        <w:t xml:space="preserve"> and </w:t>
      </w:r>
      <w:r w:rsidR="000D18A8">
        <w:rPr>
          <w:rFonts w:ascii="Calibri" w:eastAsia="Calibri" w:hAnsi="Calibri" w:cs="Calibri"/>
        </w:rPr>
        <w:t>shared commitment in support of affordable housing development</w:t>
      </w:r>
      <w:r w:rsidR="004050AB">
        <w:rPr>
          <w:rFonts w:ascii="Calibri" w:eastAsia="Calibri" w:hAnsi="Calibri" w:cs="Calibri"/>
        </w:rPr>
        <w:t xml:space="preserve">.” </w:t>
      </w:r>
    </w:p>
    <w:p w14:paraId="5EF486AE" w14:textId="32075DA1" w:rsidR="009314E1" w:rsidRDefault="009314E1" w:rsidP="00AD3E92">
      <w:pPr>
        <w:spacing w:after="0"/>
        <w:jc w:val="both"/>
        <w:rPr>
          <w:rFonts w:ascii="Calibri" w:eastAsia="Calibri" w:hAnsi="Calibri" w:cs="Calibri"/>
        </w:rPr>
      </w:pPr>
    </w:p>
    <w:p w14:paraId="5BC25A9B" w14:textId="08B5017C" w:rsidR="007F2DEE" w:rsidRDefault="00AD692C" w:rsidP="00AD3E92">
      <w:pPr>
        <w:spacing w:after="0"/>
        <w:jc w:val="both"/>
        <w:rPr>
          <w:rFonts w:eastAsia="Calibri" w:cstheme="minorHAnsi"/>
        </w:rPr>
      </w:pPr>
      <w:r>
        <w:rPr>
          <w:rFonts w:eastAsia="Calibri" w:cstheme="minorHAnsi"/>
        </w:rPr>
        <w:t xml:space="preserve">Gibson </w:t>
      </w:r>
      <w:r w:rsidR="00C634EB">
        <w:rPr>
          <w:rFonts w:eastAsia="Calibri" w:cstheme="minorHAnsi"/>
        </w:rPr>
        <w:t>launched</w:t>
      </w:r>
      <w:r>
        <w:rPr>
          <w:rFonts w:eastAsia="Calibri" w:cstheme="minorHAnsi"/>
        </w:rPr>
        <w:t xml:space="preserve"> </w:t>
      </w:r>
      <w:r w:rsidR="00750F8E">
        <w:rPr>
          <w:rFonts w:eastAsia="Calibri" w:cstheme="minorHAnsi"/>
        </w:rPr>
        <w:t>Merchants’</w:t>
      </w:r>
      <w:r>
        <w:rPr>
          <w:rFonts w:eastAsia="Calibri" w:cstheme="minorHAnsi"/>
        </w:rPr>
        <w:t xml:space="preserve"> capital markets platform in 2020 </w:t>
      </w:r>
      <w:r w:rsidR="00C941A8">
        <w:rPr>
          <w:rFonts w:eastAsia="Calibri" w:cstheme="minorHAnsi"/>
        </w:rPr>
        <w:t xml:space="preserve">and has since built it into a high performing team responsible for </w:t>
      </w:r>
      <w:r>
        <w:rPr>
          <w:rFonts w:eastAsia="Calibri" w:cstheme="minorHAnsi"/>
        </w:rPr>
        <w:t>execut</w:t>
      </w:r>
      <w:r w:rsidR="00C941A8">
        <w:rPr>
          <w:rFonts w:eastAsia="Calibri" w:cstheme="minorHAnsi"/>
        </w:rPr>
        <w:t>ing</w:t>
      </w:r>
      <w:r>
        <w:rPr>
          <w:rFonts w:eastAsia="Calibri" w:cstheme="minorHAnsi"/>
        </w:rPr>
        <w:t xml:space="preserve"> </w:t>
      </w:r>
      <w:r w:rsidR="002B42EE">
        <w:rPr>
          <w:rFonts w:eastAsia="Calibri" w:cstheme="minorHAnsi"/>
        </w:rPr>
        <w:t>more than</w:t>
      </w:r>
      <w:r>
        <w:rPr>
          <w:rFonts w:eastAsia="Calibri" w:cstheme="minorHAnsi"/>
        </w:rPr>
        <w:t xml:space="preserve"> $</w:t>
      </w:r>
      <w:r w:rsidR="0098799F">
        <w:rPr>
          <w:rFonts w:eastAsia="Calibri" w:cstheme="minorHAnsi"/>
        </w:rPr>
        <w:t>5</w:t>
      </w:r>
      <w:r>
        <w:rPr>
          <w:rFonts w:eastAsia="Calibri" w:cstheme="minorHAnsi"/>
        </w:rPr>
        <w:t xml:space="preserve"> billion in securitizations</w:t>
      </w:r>
      <w:r w:rsidR="007F2DEE">
        <w:rPr>
          <w:rFonts w:eastAsia="Calibri" w:cstheme="minorHAnsi"/>
        </w:rPr>
        <w:t xml:space="preserve">; four </w:t>
      </w:r>
      <w:r w:rsidR="007F2DEE" w:rsidRPr="00F266DD">
        <w:rPr>
          <w:rFonts w:eastAsia="Calibri" w:cstheme="minorHAnsi"/>
        </w:rPr>
        <w:t>credit risk transfer (CRT)</w:t>
      </w:r>
      <w:r w:rsidR="007F2DEE">
        <w:rPr>
          <w:rFonts w:eastAsia="Calibri" w:cstheme="minorHAnsi"/>
        </w:rPr>
        <w:t xml:space="preserve"> transactions totaling </w:t>
      </w:r>
      <w:r w:rsidR="00F91663">
        <w:rPr>
          <w:rFonts w:eastAsia="Calibri" w:cstheme="minorHAnsi"/>
        </w:rPr>
        <w:t>$3.</w:t>
      </w:r>
      <w:r w:rsidR="003E7748">
        <w:rPr>
          <w:rFonts w:eastAsia="Calibri" w:cstheme="minorHAnsi"/>
        </w:rPr>
        <w:t>5</w:t>
      </w:r>
      <w:r w:rsidR="00F91663">
        <w:rPr>
          <w:rFonts w:eastAsia="Calibri" w:cstheme="minorHAnsi"/>
        </w:rPr>
        <w:t xml:space="preserve"> billion are included among these securitizations. </w:t>
      </w:r>
    </w:p>
    <w:p w14:paraId="28EFB8A6" w14:textId="77777777" w:rsidR="009908A5" w:rsidRDefault="009908A5" w:rsidP="00AD3E92">
      <w:pPr>
        <w:spacing w:after="0"/>
        <w:jc w:val="both"/>
        <w:rPr>
          <w:rFonts w:eastAsia="Calibri" w:cstheme="minorHAnsi"/>
        </w:rPr>
      </w:pPr>
    </w:p>
    <w:p w14:paraId="46994FE3" w14:textId="54DB3364" w:rsidR="00173887" w:rsidRDefault="00173887" w:rsidP="00AD3E92">
      <w:pPr>
        <w:spacing w:after="0"/>
        <w:jc w:val="both"/>
        <w:rPr>
          <w:rFonts w:ascii="Calibri" w:eastAsia="Calibri" w:hAnsi="Calibri" w:cs="Calibri"/>
        </w:rPr>
      </w:pPr>
      <w:r>
        <w:rPr>
          <w:rFonts w:ascii="Calibri" w:eastAsia="Calibri" w:hAnsi="Calibri" w:cs="Calibri"/>
        </w:rPr>
        <w:t>To learn more about Merchants Capital and its services, visit</w:t>
      </w:r>
      <w:hyperlink r:id="rId11">
        <w:r>
          <w:t xml:space="preserve"> </w:t>
        </w:r>
      </w:hyperlink>
      <w:hyperlink r:id="rId12">
        <w:r>
          <w:rPr>
            <w:rFonts w:ascii="Calibri" w:eastAsia="Calibri" w:hAnsi="Calibri" w:cs="Calibri"/>
            <w:color w:val="73C167"/>
          </w:rPr>
          <w:t>www.merchantscapital.com</w:t>
        </w:r>
      </w:hyperlink>
      <w:r>
        <w:rPr>
          <w:rFonts w:ascii="Calibri" w:eastAsia="Calibri" w:hAnsi="Calibri" w:cs="Calibri"/>
        </w:rPr>
        <w:t xml:space="preserve"> or find Merchants Capital on</w:t>
      </w:r>
      <w:hyperlink r:id="rId13">
        <w:r>
          <w:rPr>
            <w:rFonts w:ascii="Calibri" w:eastAsia="Calibri" w:hAnsi="Calibri" w:cs="Calibri"/>
            <w:color w:val="73C167"/>
          </w:rPr>
          <w:t xml:space="preserve"> Facebook</w:t>
        </w:r>
      </w:hyperlink>
      <w:r>
        <w:rPr>
          <w:rFonts w:ascii="Calibri" w:eastAsia="Calibri" w:hAnsi="Calibri" w:cs="Calibri"/>
        </w:rPr>
        <w:t xml:space="preserve">, </w:t>
      </w:r>
      <w:hyperlink r:id="rId14">
        <w:r>
          <w:rPr>
            <w:rFonts w:ascii="Calibri" w:eastAsia="Calibri" w:hAnsi="Calibri" w:cs="Calibri"/>
            <w:color w:val="73C167"/>
          </w:rPr>
          <w:t>X</w:t>
        </w:r>
      </w:hyperlink>
      <w:r>
        <w:rPr>
          <w:rFonts w:ascii="Calibri" w:eastAsia="Calibri" w:hAnsi="Calibri" w:cs="Calibri"/>
        </w:rPr>
        <w:t>,</w:t>
      </w:r>
      <w:hyperlink r:id="rId15">
        <w:r>
          <w:rPr>
            <w:rFonts w:ascii="Calibri" w:eastAsia="Calibri" w:hAnsi="Calibri" w:cs="Calibri"/>
            <w:color w:val="73C167"/>
          </w:rPr>
          <w:t xml:space="preserve"> LinkedIn</w:t>
        </w:r>
      </w:hyperlink>
      <w:r>
        <w:rPr>
          <w:rFonts w:ascii="Calibri" w:eastAsia="Calibri" w:hAnsi="Calibri" w:cs="Calibri"/>
          <w:color w:val="73C167"/>
        </w:rPr>
        <w:t xml:space="preserve"> </w:t>
      </w:r>
      <w:r>
        <w:rPr>
          <w:rFonts w:ascii="Calibri" w:eastAsia="Calibri" w:hAnsi="Calibri" w:cs="Calibri"/>
        </w:rPr>
        <w:t>and</w:t>
      </w:r>
      <w:hyperlink r:id="rId16">
        <w:r>
          <w:rPr>
            <w:rFonts w:ascii="Calibri" w:eastAsia="Calibri" w:hAnsi="Calibri" w:cs="Calibri"/>
          </w:rPr>
          <w:t xml:space="preserve"> </w:t>
        </w:r>
      </w:hyperlink>
      <w:hyperlink r:id="rId17">
        <w:r>
          <w:rPr>
            <w:rFonts w:ascii="Calibri" w:eastAsia="Calibri" w:hAnsi="Calibri" w:cs="Calibri"/>
            <w:color w:val="73C167"/>
          </w:rPr>
          <w:t>Instagram</w:t>
        </w:r>
      </w:hyperlink>
      <w:r>
        <w:rPr>
          <w:rFonts w:ascii="Calibri" w:eastAsia="Calibri" w:hAnsi="Calibri" w:cs="Calibri"/>
        </w:rPr>
        <w:t>.</w:t>
      </w:r>
    </w:p>
    <w:p w14:paraId="42D8744A" w14:textId="77777777" w:rsidR="00CC690D" w:rsidRDefault="00CC690D" w:rsidP="00AD3E92">
      <w:pPr>
        <w:spacing w:after="0"/>
        <w:jc w:val="both"/>
        <w:rPr>
          <w:rFonts w:ascii="Calibri" w:eastAsia="Calibri" w:hAnsi="Calibri" w:cs="Calibri"/>
        </w:rPr>
      </w:pPr>
    </w:p>
    <w:p w14:paraId="43FAF08A" w14:textId="597A4C73" w:rsidR="00CC690D" w:rsidRPr="00EF060F" w:rsidRDefault="00CC690D" w:rsidP="00AD3E92">
      <w:pPr>
        <w:spacing w:after="0"/>
        <w:jc w:val="both"/>
        <w:rPr>
          <w:rFonts w:ascii="Calibri" w:eastAsia="Calibri" w:hAnsi="Calibri" w:cs="Calibri"/>
        </w:rPr>
      </w:pPr>
      <w:r>
        <w:rPr>
          <w:rFonts w:ascii="Calibri" w:eastAsia="Calibri" w:hAnsi="Calibri" w:cs="Calibri"/>
        </w:rPr>
        <w:t xml:space="preserve">To learn more about Freddie Mac Multifamily Q-Deals, please </w:t>
      </w:r>
      <w:hyperlink r:id="rId18" w:history="1">
        <w:r w:rsidRPr="00CA0B16">
          <w:rPr>
            <w:rStyle w:val="Hyperlink"/>
            <w:rFonts w:ascii="Calibri" w:eastAsia="Calibri" w:hAnsi="Calibri" w:cs="Calibri"/>
            <w:color w:val="73C167"/>
          </w:rPr>
          <w:t>click here</w:t>
        </w:r>
      </w:hyperlink>
      <w:r>
        <w:rPr>
          <w:rFonts w:ascii="Calibri" w:eastAsia="Calibri" w:hAnsi="Calibri" w:cs="Calibri"/>
        </w:rPr>
        <w:t xml:space="preserve">. </w:t>
      </w:r>
    </w:p>
    <w:p w14:paraId="7D72C2F2" w14:textId="77777777" w:rsidR="0069341D" w:rsidRDefault="0069341D" w:rsidP="00AD3E92">
      <w:pPr>
        <w:spacing w:after="0"/>
        <w:jc w:val="both"/>
        <w:rPr>
          <w:rFonts w:ascii="Calibri" w:eastAsia="Calibri" w:hAnsi="Calibri" w:cs="Calibri"/>
          <w:b/>
        </w:rPr>
      </w:pPr>
    </w:p>
    <w:p w14:paraId="4159533F" w14:textId="5A0ECAE7" w:rsidR="00114F3D" w:rsidRDefault="003C3B32" w:rsidP="00114F3D">
      <w:pPr>
        <w:spacing w:after="0"/>
        <w:jc w:val="center"/>
        <w:rPr>
          <w:rFonts w:ascii="Calibri" w:eastAsia="Calibri" w:hAnsi="Calibri" w:cs="Calibri"/>
          <w:b/>
        </w:rPr>
      </w:pPr>
      <w:r>
        <w:rPr>
          <w:rFonts w:ascii="Calibri" w:eastAsia="Calibri" w:hAnsi="Calibri" w:cs="Calibri"/>
          <w:b/>
        </w:rPr>
        <w:t>###</w:t>
      </w:r>
    </w:p>
    <w:p w14:paraId="6CCF7EF6" w14:textId="77777777" w:rsidR="00114F3D" w:rsidRDefault="00114F3D" w:rsidP="007441BE">
      <w:pPr>
        <w:spacing w:after="0"/>
        <w:jc w:val="both"/>
        <w:rPr>
          <w:rFonts w:ascii="Calibri" w:eastAsia="Calibri" w:hAnsi="Calibri" w:cs="Calibri"/>
          <w:b/>
        </w:rPr>
      </w:pPr>
    </w:p>
    <w:p w14:paraId="2891D28B" w14:textId="1ADB5EC5" w:rsidR="007441BE" w:rsidRDefault="007441BE" w:rsidP="007441BE">
      <w:pPr>
        <w:spacing w:after="0"/>
        <w:jc w:val="both"/>
        <w:rPr>
          <w:rFonts w:ascii="Calibri" w:eastAsia="Calibri" w:hAnsi="Calibri" w:cs="Calibri"/>
          <w:b/>
        </w:rPr>
      </w:pPr>
      <w:r>
        <w:rPr>
          <w:rFonts w:ascii="Calibri" w:eastAsia="Calibri" w:hAnsi="Calibri" w:cs="Calibri"/>
          <w:b/>
        </w:rPr>
        <w:t>ABOUT MERCHANTS BANCORP</w:t>
      </w:r>
    </w:p>
    <w:p w14:paraId="3F7BC52E" w14:textId="618D6F9B" w:rsidR="007441BE" w:rsidRPr="00630474" w:rsidRDefault="007441BE" w:rsidP="007441BE">
      <w:pPr>
        <w:spacing w:after="0"/>
        <w:jc w:val="both"/>
        <w:rPr>
          <w:rFonts w:eastAsia="Calibri" w:cstheme="minorHAnsi"/>
          <w:sz w:val="21"/>
          <w:szCs w:val="21"/>
        </w:rPr>
      </w:pPr>
      <w:r w:rsidRPr="007441BE">
        <w:rPr>
          <w:rFonts w:ascii="Calibri" w:eastAsia="Calibri" w:hAnsi="Calibri" w:cs="Calibri"/>
        </w:rPr>
        <w:t xml:space="preserve">Ranked as a top performing U.S. public bank by S&amp;P Global Market Intelligence, Merchants Bancorp is a diversified bank holding company headquartered in Carmel, Indiana operating multiple segments, including Multi-family Mortgage Banking that primarily offers multi-family housing and healthcare facility financing and servicing (through this segment it also serves as a syndicator of low-income housing tax credit and debt funds); Mortgage Warehousing that offers mortgage warehouse financing, commercial loans, and deposit services; and Banking that offers retail and correspondent residential mortgage </w:t>
      </w:r>
      <w:r w:rsidRPr="007441BE">
        <w:rPr>
          <w:rFonts w:ascii="Calibri" w:eastAsia="Calibri" w:hAnsi="Calibri" w:cs="Calibri"/>
        </w:rPr>
        <w:lastRenderedPageBreak/>
        <w:t>banking, agricultural lending, and traditional community banking.  Merchants Bancorp, with $19.1 billion in assets and $12.7 billion in deposits as of June 30, 2025, conducts its business primarily through its direct and indirect subsidiaries, Merchants Bank of Indiana, Merchants Capital Corp., Merchants Capital Investments, LLC, Merchants Capital Servicing, LLC, Merchants Asset Management, LLC, and Merchants Mortgage, a division of Merchants Bank of Indiana. For more information and financial data, please visit Merchants’ Investor Relations page at</w:t>
      </w:r>
      <w:r w:rsidRPr="00630474">
        <w:rPr>
          <w:rFonts w:eastAsia="Times New Roman" w:cstheme="minorHAnsi"/>
          <w:bCs/>
          <w:color w:val="000000"/>
          <w:sz w:val="21"/>
          <w:szCs w:val="21"/>
        </w:rPr>
        <w:t xml:space="preserve"> </w:t>
      </w:r>
      <w:hyperlink r:id="rId19" w:history="1">
        <w:r w:rsidRPr="00630474">
          <w:rPr>
            <w:rStyle w:val="Hyperlink"/>
            <w:rFonts w:eastAsia="Times New Roman" w:cstheme="minorHAnsi"/>
            <w:bCs/>
            <w:color w:val="73C167"/>
            <w:sz w:val="21"/>
            <w:szCs w:val="21"/>
          </w:rPr>
          <w:t>investors.merchantsbancorp.com</w:t>
        </w:r>
      </w:hyperlink>
      <w:r w:rsidRPr="00630474">
        <w:rPr>
          <w:rFonts w:eastAsia="Calibri" w:cstheme="minorHAnsi"/>
          <w:sz w:val="21"/>
          <w:szCs w:val="21"/>
        </w:rPr>
        <w:t>.</w:t>
      </w:r>
    </w:p>
    <w:p w14:paraId="4C0D90E0" w14:textId="77777777" w:rsidR="007441BE" w:rsidRDefault="007441BE" w:rsidP="00AD3E92">
      <w:pPr>
        <w:spacing w:after="0"/>
        <w:jc w:val="both"/>
        <w:rPr>
          <w:rFonts w:ascii="Calibri" w:eastAsia="Calibri" w:hAnsi="Calibri" w:cs="Calibri"/>
          <w:b/>
        </w:rPr>
      </w:pPr>
    </w:p>
    <w:p w14:paraId="029A8000" w14:textId="0B40B287" w:rsidR="00173887" w:rsidRDefault="00173887" w:rsidP="00AD3E92">
      <w:pPr>
        <w:spacing w:after="0"/>
        <w:jc w:val="both"/>
        <w:rPr>
          <w:rFonts w:ascii="Calibri" w:eastAsia="Calibri" w:hAnsi="Calibri" w:cs="Calibri"/>
          <w:b/>
        </w:rPr>
      </w:pPr>
      <w:r>
        <w:rPr>
          <w:rFonts w:ascii="Calibri" w:eastAsia="Calibri" w:hAnsi="Calibri" w:cs="Calibri"/>
          <w:b/>
        </w:rPr>
        <w:t>ABOUT MERCHANTS CAPITAL</w:t>
      </w:r>
    </w:p>
    <w:p w14:paraId="7C2D2CE1" w14:textId="73DE8740" w:rsidR="00173887" w:rsidRDefault="00173887" w:rsidP="00AD3E92">
      <w:pPr>
        <w:spacing w:after="0"/>
        <w:jc w:val="both"/>
        <w:rPr>
          <w:rFonts w:ascii="Calibri" w:eastAsia="Calibri" w:hAnsi="Calibri" w:cs="Calibri"/>
        </w:rPr>
      </w:pPr>
      <w:r w:rsidRPr="1497204A">
        <w:rPr>
          <w:rFonts w:ascii="Calibri" w:eastAsia="Calibri" w:hAnsi="Calibri" w:cs="Calibri"/>
        </w:rPr>
        <w:t xml:space="preserve">With </w:t>
      </w:r>
      <w:r>
        <w:rPr>
          <w:rFonts w:eastAsia="Calibri"/>
        </w:rPr>
        <w:t>more than</w:t>
      </w:r>
      <w:r w:rsidRPr="1497204A">
        <w:rPr>
          <w:rFonts w:ascii="Calibri" w:eastAsia="Calibri" w:hAnsi="Calibri" w:cs="Calibri"/>
        </w:rPr>
        <w:t xml:space="preserve"> 30 years of success built on putting people first, Merchants Capital is a proven leader in financing for multifamily housing nationwide. Our licenses with Fannie Mae, Freddie Mac and HUD/FHA, in addition to our bank’s balance sheet products, allow us to offer custom solutions with agility and ease of execution, expanding access to housing in meaningful and impactful ways. Recognized as a</w:t>
      </w:r>
      <w:r w:rsidRPr="1497204A">
        <w:rPr>
          <w:rFonts w:ascii="Calibri" w:eastAsia="Calibri" w:hAnsi="Calibri" w:cs="Calibri"/>
          <w:color w:val="1D1C1D"/>
        </w:rPr>
        <w:t xml:space="preserve"> </w:t>
      </w:r>
      <w:hyperlink r:id="rId20">
        <w:r w:rsidRPr="1497204A">
          <w:rPr>
            <w:rFonts w:ascii="Calibri" w:eastAsia="Calibri" w:hAnsi="Calibri" w:cs="Calibri"/>
            <w:color w:val="73C167"/>
          </w:rPr>
          <w:t>top five affordable lender</w:t>
        </w:r>
      </w:hyperlink>
      <w:r w:rsidRPr="1497204A">
        <w:rPr>
          <w:rFonts w:ascii="Calibri" w:eastAsia="Calibri" w:hAnsi="Calibri" w:cs="Calibri"/>
        </w:rPr>
        <w:t>, Merchants Capital pairs our comprehensive debt offerings with in-house tax credit equity to provide a one-stop-shop for developers and owners. To learn more about Merchants Capital, visit</w:t>
      </w:r>
      <w:hyperlink r:id="rId21">
        <w:r w:rsidRPr="1497204A">
          <w:rPr>
            <w:rFonts w:ascii="Calibri" w:eastAsia="Calibri" w:hAnsi="Calibri" w:cs="Calibri"/>
            <w:color w:val="73C167"/>
          </w:rPr>
          <w:t xml:space="preserve"> www.merchantscapital.com</w:t>
        </w:r>
      </w:hyperlink>
      <w:r w:rsidRPr="1497204A">
        <w:rPr>
          <w:rFonts w:ascii="Calibri" w:eastAsia="Calibri" w:hAnsi="Calibri" w:cs="Calibri"/>
          <w:color w:val="1D1C1D"/>
        </w:rPr>
        <w:t>.</w:t>
      </w:r>
    </w:p>
    <w:p w14:paraId="6C1FAC5F" w14:textId="77777777" w:rsidR="00173887" w:rsidRDefault="00173887" w:rsidP="00AD3E92">
      <w:pPr>
        <w:spacing w:after="0"/>
        <w:jc w:val="both"/>
        <w:rPr>
          <w:rFonts w:ascii="Calibri" w:eastAsia="Calibri" w:hAnsi="Calibri" w:cs="Calibri"/>
        </w:rPr>
      </w:pPr>
    </w:p>
    <w:p w14:paraId="1624BA5E" w14:textId="77777777" w:rsidR="00173887" w:rsidRDefault="00173887" w:rsidP="00AD3E92">
      <w:pPr>
        <w:spacing w:after="0"/>
        <w:jc w:val="both"/>
        <w:rPr>
          <w:rFonts w:ascii="Calibri" w:eastAsia="Calibri" w:hAnsi="Calibri" w:cs="Calibri"/>
        </w:rPr>
      </w:pPr>
      <w:r w:rsidRPr="39EA3AB0">
        <w:rPr>
          <w:rFonts w:eastAsia="Calibri"/>
          <w:b/>
          <w:bCs/>
        </w:rPr>
        <w:t>MEDIA CONTACT</w:t>
      </w:r>
      <w:r>
        <w:rPr>
          <w:rFonts w:eastAsia="Calibri"/>
          <w:b/>
          <w:bCs/>
        </w:rPr>
        <w:t>: Terra Hoskins</w:t>
      </w:r>
      <w:r w:rsidRPr="39EA3AB0">
        <w:rPr>
          <w:rFonts w:eastAsia="Calibri"/>
        </w:rPr>
        <w:t>,</w:t>
      </w:r>
      <w:r>
        <w:t xml:space="preserve"> </w:t>
      </w:r>
      <w:r w:rsidRPr="003213DA">
        <w:rPr>
          <w:color w:val="73C167"/>
        </w:rPr>
        <w:t>pr@merchantscapital.com</w:t>
      </w:r>
      <w:r w:rsidRPr="00981942">
        <w:t>,</w:t>
      </w:r>
      <w:r w:rsidRPr="00981942">
        <w:rPr>
          <w:rFonts w:eastAsia="Calibri"/>
        </w:rPr>
        <w:t xml:space="preserve"> </w:t>
      </w:r>
      <w:r>
        <w:rPr>
          <w:rFonts w:eastAsia="Calibri"/>
        </w:rPr>
        <w:t>317.843.6035</w:t>
      </w:r>
    </w:p>
    <w:p w14:paraId="2CA8203C" w14:textId="77777777" w:rsidR="001A3C69" w:rsidRDefault="001A3C69" w:rsidP="00AD3E92">
      <w:pPr>
        <w:spacing w:after="0"/>
        <w:jc w:val="both"/>
        <w:rPr>
          <w:b/>
          <w:bCs/>
        </w:rPr>
      </w:pPr>
    </w:p>
    <w:p w14:paraId="23CA1228" w14:textId="77777777" w:rsidR="00A079AE" w:rsidRDefault="00A079AE" w:rsidP="00A079AE">
      <w:pPr>
        <w:rPr>
          <w:b/>
          <w:bCs/>
        </w:rPr>
      </w:pPr>
      <w:r>
        <w:rPr>
          <w:b/>
          <w:bCs/>
        </w:rPr>
        <w:t xml:space="preserve">Forward-Looking Statements  </w:t>
      </w:r>
    </w:p>
    <w:p w14:paraId="576B5CCB" w14:textId="77777777" w:rsidR="0039300C" w:rsidRDefault="0039300C" w:rsidP="00604788">
      <w:pPr>
        <w:jc w:val="both"/>
      </w:pPr>
      <w:r w:rsidRPr="00B73B95">
        <w:t xml:space="preserve">This press release contains forward-looking statements which reflect management’s current views with respect to, among other things, future events and financial performance. These statements are often, but not always, made through the use of words or phrases such as "may," "might," "should," "could," "predict," "potential," "believe," "expect," "continue," "will," "anticipate," "seek," "estimate," "intend," "plan," "projection," "goal," "target," "outlook," "aim," "would," "annualized" and "outlook," or the negative version of those words or other comparable words or phrases of a future or forward-looking nature. These forward-looking statements are not historical facts, and are based on current expectations, estimates and projections about the industry, management's beliefs and certain assumptions made by management, many of which, by their nature, are inherently uncertain and beyond our control. Accordingly, management cautions that </w:t>
      </w:r>
      <w:proofErr w:type="gramStart"/>
      <w:r w:rsidRPr="00B73B95">
        <w:t>any such</w:t>
      </w:r>
      <w:proofErr w:type="gramEnd"/>
      <w:r w:rsidRPr="00B73B95">
        <w:t xml:space="preserve"> forward-looking statements are not guarantees of future performance and are subject to risks, assumptions, estimates and uncertainties that are difficult to predict. Although the </w:t>
      </w:r>
      <w:r>
        <w:t>Merchants Capital</w:t>
      </w:r>
      <w:r w:rsidRPr="00B73B95">
        <w:t xml:space="preserve"> believes that the expectations reflected in these forward-looking statements are reasonable as of the date made, actual results may prove to be materially different from the results expressed or implied by the forward-looking statements. </w:t>
      </w:r>
      <w:proofErr w:type="gramStart"/>
      <w:r w:rsidRPr="00B73B95">
        <w:t>A number of</w:t>
      </w:r>
      <w:proofErr w:type="gramEnd"/>
      <w:r w:rsidRPr="00B73B95">
        <w:t xml:space="preserve"> important factors could cause actual results to differ materially from those indicated in these forward-looking statements, including the impacts of factors identified in "Risk Factors" or "Management's Discussion and Analysis of Financial Condition and Results of Operations" in </w:t>
      </w:r>
      <w:r>
        <w:t>Merchants Bancorp</w:t>
      </w:r>
      <w:r w:rsidRPr="00B73B95">
        <w:t xml:space="preserve">’s Annual Report on Form 10-K and other periodic filings with the Securities and Exchange Commission. Any forward-looking statements presented herein are made only as of the date of this press release, and </w:t>
      </w:r>
      <w:r>
        <w:t>neither Merchants Bancorp nor Merchants Capital</w:t>
      </w:r>
      <w:r w:rsidRPr="00B73B95">
        <w:t xml:space="preserve"> undertake</w:t>
      </w:r>
      <w:r>
        <w:t>s</w:t>
      </w:r>
      <w:r w:rsidRPr="00B73B95">
        <w:t xml:space="preserve"> any obligation to update or revise any forward-looking statements to reflect changes in assumptions, the occurrence of unanticipated events, or otherwise.</w:t>
      </w:r>
    </w:p>
    <w:p w14:paraId="78DB0BFB" w14:textId="77777777" w:rsidR="00FF7F09" w:rsidRDefault="00FF7F09" w:rsidP="00FF7F09"/>
    <w:p w14:paraId="037385D0" w14:textId="586E91BC" w:rsidR="00A93026" w:rsidRDefault="004814FA" w:rsidP="00AD3E92">
      <w:pPr>
        <w:jc w:val="center"/>
      </w:pPr>
      <w:r>
        <w:t>###</w:t>
      </w:r>
    </w:p>
    <w:sectPr w:rsidR="00A93026" w:rsidSect="00E63203">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582D8" w14:textId="77777777" w:rsidR="004403DF" w:rsidRDefault="004403DF" w:rsidP="00E63203">
      <w:pPr>
        <w:spacing w:after="0" w:line="240" w:lineRule="auto"/>
      </w:pPr>
      <w:r>
        <w:separator/>
      </w:r>
    </w:p>
  </w:endnote>
  <w:endnote w:type="continuationSeparator" w:id="0">
    <w:p w14:paraId="2D80A47A" w14:textId="77777777" w:rsidR="004403DF" w:rsidRDefault="004403DF" w:rsidP="00E63203">
      <w:pPr>
        <w:spacing w:after="0" w:line="240" w:lineRule="auto"/>
      </w:pPr>
      <w:r>
        <w:continuationSeparator/>
      </w:r>
    </w:p>
  </w:endnote>
  <w:endnote w:type="continuationNotice" w:id="1">
    <w:p w14:paraId="23B11280" w14:textId="77777777" w:rsidR="004403DF" w:rsidRDefault="004403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973725"/>
      <w:docPartObj>
        <w:docPartGallery w:val="Page Numbers (Bottom of Page)"/>
        <w:docPartUnique/>
      </w:docPartObj>
    </w:sdtPr>
    <w:sdtContent>
      <w:sdt>
        <w:sdtPr>
          <w:id w:val="-1769616900"/>
          <w:docPartObj>
            <w:docPartGallery w:val="Page Numbers (Top of Page)"/>
            <w:docPartUnique/>
          </w:docPartObj>
        </w:sdtPr>
        <w:sdtContent>
          <w:p w14:paraId="0BEDF656" w14:textId="58766E22" w:rsidR="00E63203" w:rsidRDefault="00E632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1A00CD2" w14:textId="77777777" w:rsidR="00E63203" w:rsidRDefault="00E632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2504074"/>
      <w:docPartObj>
        <w:docPartGallery w:val="Page Numbers (Bottom of Page)"/>
        <w:docPartUnique/>
      </w:docPartObj>
    </w:sdtPr>
    <w:sdtContent>
      <w:sdt>
        <w:sdtPr>
          <w:id w:val="988128874"/>
          <w:docPartObj>
            <w:docPartGallery w:val="Page Numbers (Top of Page)"/>
            <w:docPartUnique/>
          </w:docPartObj>
        </w:sdtPr>
        <w:sdtContent>
          <w:p w14:paraId="49652F56" w14:textId="29BF3143" w:rsidR="00E63203" w:rsidRDefault="00E632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E9E5D32" w14:textId="77777777" w:rsidR="00E63203" w:rsidRDefault="00E63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A419D" w14:textId="77777777" w:rsidR="004403DF" w:rsidRDefault="004403DF" w:rsidP="00E63203">
      <w:pPr>
        <w:spacing w:after="0" w:line="240" w:lineRule="auto"/>
      </w:pPr>
      <w:r>
        <w:separator/>
      </w:r>
    </w:p>
  </w:footnote>
  <w:footnote w:type="continuationSeparator" w:id="0">
    <w:p w14:paraId="16E07AB8" w14:textId="77777777" w:rsidR="004403DF" w:rsidRDefault="004403DF" w:rsidP="00E63203">
      <w:pPr>
        <w:spacing w:after="0" w:line="240" w:lineRule="auto"/>
      </w:pPr>
      <w:r>
        <w:continuationSeparator/>
      </w:r>
    </w:p>
  </w:footnote>
  <w:footnote w:type="continuationNotice" w:id="1">
    <w:p w14:paraId="2CDA2C26" w14:textId="77777777" w:rsidR="004403DF" w:rsidRDefault="004403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66F33" w14:textId="67060D7B" w:rsidR="00E63203" w:rsidRPr="007441BE" w:rsidRDefault="007441BE" w:rsidP="007441BE">
    <w:pPr>
      <w:pStyle w:val="Header"/>
    </w:pPr>
    <w:r>
      <w:rPr>
        <w:noProof/>
      </w:rPr>
      <w:drawing>
        <wp:anchor distT="0" distB="0" distL="114300" distR="114300" simplePos="0" relativeHeight="251658240" behindDoc="1" locked="0" layoutInCell="1" allowOverlap="1" wp14:anchorId="6E40098A" wp14:editId="22C2B206">
          <wp:simplePos x="0" y="0"/>
          <wp:positionH relativeFrom="margin">
            <wp:posOffset>-942975</wp:posOffset>
          </wp:positionH>
          <wp:positionV relativeFrom="paragraph">
            <wp:posOffset>-457200</wp:posOffset>
          </wp:positionV>
          <wp:extent cx="7925128" cy="455899"/>
          <wp:effectExtent l="0" t="0" r="0" b="1905"/>
          <wp:wrapNone/>
          <wp:docPr id="22" name="Picture 22" descr="A green and white triangle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een and white triangle pattern&#10;&#10;AI-generated content may be incorrect."/>
                  <pic:cNvPicPr/>
                </pic:nvPicPr>
                <pic:blipFill rotWithShape="1">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t="11345" b="82665"/>
                  <a:stretch/>
                </pic:blipFill>
                <pic:spPr bwMode="auto">
                  <a:xfrm>
                    <a:off x="0" y="0"/>
                    <a:ext cx="7925128" cy="455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1335A"/>
    <w:multiLevelType w:val="hybridMultilevel"/>
    <w:tmpl w:val="124C3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8A5B85"/>
    <w:multiLevelType w:val="hybridMultilevel"/>
    <w:tmpl w:val="AD9C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2414383">
    <w:abstractNumId w:val="1"/>
  </w:num>
  <w:num w:numId="2" w16cid:durableId="1900825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439"/>
    <w:rsid w:val="0000264D"/>
    <w:rsid w:val="00016316"/>
    <w:rsid w:val="00017157"/>
    <w:rsid w:val="000214FB"/>
    <w:rsid w:val="00021C53"/>
    <w:rsid w:val="00035095"/>
    <w:rsid w:val="00044D1C"/>
    <w:rsid w:val="000505B6"/>
    <w:rsid w:val="000517A1"/>
    <w:rsid w:val="000541A9"/>
    <w:rsid w:val="000575FC"/>
    <w:rsid w:val="00061F16"/>
    <w:rsid w:val="000646A2"/>
    <w:rsid w:val="00072C37"/>
    <w:rsid w:val="00072D1F"/>
    <w:rsid w:val="00073238"/>
    <w:rsid w:val="0007634E"/>
    <w:rsid w:val="00076560"/>
    <w:rsid w:val="00077BEB"/>
    <w:rsid w:val="00084733"/>
    <w:rsid w:val="000859A8"/>
    <w:rsid w:val="00085E5A"/>
    <w:rsid w:val="00094A5D"/>
    <w:rsid w:val="000A1092"/>
    <w:rsid w:val="000A44EE"/>
    <w:rsid w:val="000B06E2"/>
    <w:rsid w:val="000B2F93"/>
    <w:rsid w:val="000B7003"/>
    <w:rsid w:val="000B7446"/>
    <w:rsid w:val="000C63E4"/>
    <w:rsid w:val="000D18A8"/>
    <w:rsid w:val="000D48C5"/>
    <w:rsid w:val="000D4AA7"/>
    <w:rsid w:val="000E2040"/>
    <w:rsid w:val="000E429B"/>
    <w:rsid w:val="000E502C"/>
    <w:rsid w:val="000E58CA"/>
    <w:rsid w:val="000E7062"/>
    <w:rsid w:val="00101036"/>
    <w:rsid w:val="001011D9"/>
    <w:rsid w:val="00103060"/>
    <w:rsid w:val="00104D71"/>
    <w:rsid w:val="00113961"/>
    <w:rsid w:val="00114F3D"/>
    <w:rsid w:val="001240B4"/>
    <w:rsid w:val="00131B8B"/>
    <w:rsid w:val="00137A05"/>
    <w:rsid w:val="00145AF4"/>
    <w:rsid w:val="001471CC"/>
    <w:rsid w:val="00147F73"/>
    <w:rsid w:val="00157971"/>
    <w:rsid w:val="001622DD"/>
    <w:rsid w:val="00166210"/>
    <w:rsid w:val="00170C1D"/>
    <w:rsid w:val="00173887"/>
    <w:rsid w:val="0017642D"/>
    <w:rsid w:val="0017771E"/>
    <w:rsid w:val="001879E2"/>
    <w:rsid w:val="00190D12"/>
    <w:rsid w:val="00191CFD"/>
    <w:rsid w:val="001929AB"/>
    <w:rsid w:val="00196D35"/>
    <w:rsid w:val="001A3C69"/>
    <w:rsid w:val="001A4D67"/>
    <w:rsid w:val="001A5A34"/>
    <w:rsid w:val="001A7208"/>
    <w:rsid w:val="001C4175"/>
    <w:rsid w:val="001C685A"/>
    <w:rsid w:val="001C7E2F"/>
    <w:rsid w:val="001D1C5A"/>
    <w:rsid w:val="001D5717"/>
    <w:rsid w:val="001D5C37"/>
    <w:rsid w:val="001E30E9"/>
    <w:rsid w:val="001E3D5D"/>
    <w:rsid w:val="001F0337"/>
    <w:rsid w:val="001F4B6B"/>
    <w:rsid w:val="00200C5E"/>
    <w:rsid w:val="00200E03"/>
    <w:rsid w:val="00206632"/>
    <w:rsid w:val="00207B10"/>
    <w:rsid w:val="0021235A"/>
    <w:rsid w:val="002131C0"/>
    <w:rsid w:val="0022403C"/>
    <w:rsid w:val="00226563"/>
    <w:rsid w:val="00226D85"/>
    <w:rsid w:val="00227E54"/>
    <w:rsid w:val="002308F3"/>
    <w:rsid w:val="00233D07"/>
    <w:rsid w:val="00235FFC"/>
    <w:rsid w:val="00237201"/>
    <w:rsid w:val="00243B55"/>
    <w:rsid w:val="00247CCF"/>
    <w:rsid w:val="00251DB9"/>
    <w:rsid w:val="00256951"/>
    <w:rsid w:val="00261E04"/>
    <w:rsid w:val="002629C6"/>
    <w:rsid w:val="00277B38"/>
    <w:rsid w:val="002829C8"/>
    <w:rsid w:val="00284E43"/>
    <w:rsid w:val="00286F44"/>
    <w:rsid w:val="00287FD0"/>
    <w:rsid w:val="00292629"/>
    <w:rsid w:val="00292AF9"/>
    <w:rsid w:val="002A6693"/>
    <w:rsid w:val="002B3FC7"/>
    <w:rsid w:val="002B42EE"/>
    <w:rsid w:val="002C14ED"/>
    <w:rsid w:val="002C26B1"/>
    <w:rsid w:val="002C42E1"/>
    <w:rsid w:val="002C57BA"/>
    <w:rsid w:val="002C7715"/>
    <w:rsid w:val="002D7E60"/>
    <w:rsid w:val="002E0456"/>
    <w:rsid w:val="002E0D0A"/>
    <w:rsid w:val="002E18B4"/>
    <w:rsid w:val="002E3381"/>
    <w:rsid w:val="002E434D"/>
    <w:rsid w:val="002F00DD"/>
    <w:rsid w:val="002F10F8"/>
    <w:rsid w:val="002F2C9B"/>
    <w:rsid w:val="002F5240"/>
    <w:rsid w:val="002F6FA5"/>
    <w:rsid w:val="002F74C9"/>
    <w:rsid w:val="00301A37"/>
    <w:rsid w:val="00302D83"/>
    <w:rsid w:val="00311BC7"/>
    <w:rsid w:val="003153A7"/>
    <w:rsid w:val="003235BB"/>
    <w:rsid w:val="00324DAA"/>
    <w:rsid w:val="00325544"/>
    <w:rsid w:val="00337DC2"/>
    <w:rsid w:val="00340690"/>
    <w:rsid w:val="00353C43"/>
    <w:rsid w:val="00353E97"/>
    <w:rsid w:val="0036155F"/>
    <w:rsid w:val="00381133"/>
    <w:rsid w:val="00390E33"/>
    <w:rsid w:val="0039300C"/>
    <w:rsid w:val="003A2BF5"/>
    <w:rsid w:val="003A59F2"/>
    <w:rsid w:val="003A77A5"/>
    <w:rsid w:val="003C08E9"/>
    <w:rsid w:val="003C17EC"/>
    <w:rsid w:val="003C1CE4"/>
    <w:rsid w:val="003C3B32"/>
    <w:rsid w:val="003D115B"/>
    <w:rsid w:val="003D581C"/>
    <w:rsid w:val="003D7527"/>
    <w:rsid w:val="003E091F"/>
    <w:rsid w:val="003E37C1"/>
    <w:rsid w:val="003E6E4A"/>
    <w:rsid w:val="003E7748"/>
    <w:rsid w:val="003E78D2"/>
    <w:rsid w:val="003E7C6A"/>
    <w:rsid w:val="003F10F0"/>
    <w:rsid w:val="003F2E97"/>
    <w:rsid w:val="003F6054"/>
    <w:rsid w:val="00403047"/>
    <w:rsid w:val="0040348F"/>
    <w:rsid w:val="00404114"/>
    <w:rsid w:val="004050AB"/>
    <w:rsid w:val="0041051C"/>
    <w:rsid w:val="00410BF9"/>
    <w:rsid w:val="004123CC"/>
    <w:rsid w:val="00412AF5"/>
    <w:rsid w:val="00420B8B"/>
    <w:rsid w:val="004304B0"/>
    <w:rsid w:val="004403DF"/>
    <w:rsid w:val="00446A1E"/>
    <w:rsid w:val="0045048D"/>
    <w:rsid w:val="00460661"/>
    <w:rsid w:val="00463B3A"/>
    <w:rsid w:val="00464105"/>
    <w:rsid w:val="004658AC"/>
    <w:rsid w:val="00471A2E"/>
    <w:rsid w:val="00474850"/>
    <w:rsid w:val="00474D94"/>
    <w:rsid w:val="0048030C"/>
    <w:rsid w:val="004814FA"/>
    <w:rsid w:val="00481E2B"/>
    <w:rsid w:val="00483840"/>
    <w:rsid w:val="0049094A"/>
    <w:rsid w:val="00493F8C"/>
    <w:rsid w:val="00494738"/>
    <w:rsid w:val="004A09B9"/>
    <w:rsid w:val="004A5E16"/>
    <w:rsid w:val="004A6CBC"/>
    <w:rsid w:val="004A7383"/>
    <w:rsid w:val="004B6112"/>
    <w:rsid w:val="004C2BA7"/>
    <w:rsid w:val="004D0898"/>
    <w:rsid w:val="004D08C0"/>
    <w:rsid w:val="004D24F2"/>
    <w:rsid w:val="004E351B"/>
    <w:rsid w:val="004E4E09"/>
    <w:rsid w:val="004F0F5C"/>
    <w:rsid w:val="004F6EA9"/>
    <w:rsid w:val="004F7339"/>
    <w:rsid w:val="005008FD"/>
    <w:rsid w:val="00500980"/>
    <w:rsid w:val="005010A6"/>
    <w:rsid w:val="005040C7"/>
    <w:rsid w:val="00506049"/>
    <w:rsid w:val="00515153"/>
    <w:rsid w:val="0051642B"/>
    <w:rsid w:val="00526290"/>
    <w:rsid w:val="0052682E"/>
    <w:rsid w:val="00530DA3"/>
    <w:rsid w:val="005331EE"/>
    <w:rsid w:val="00535F63"/>
    <w:rsid w:val="00536461"/>
    <w:rsid w:val="005428CD"/>
    <w:rsid w:val="00544CE6"/>
    <w:rsid w:val="00546A31"/>
    <w:rsid w:val="00553E64"/>
    <w:rsid w:val="00556186"/>
    <w:rsid w:val="005563B9"/>
    <w:rsid w:val="00560629"/>
    <w:rsid w:val="0056257E"/>
    <w:rsid w:val="00565FD1"/>
    <w:rsid w:val="005668F6"/>
    <w:rsid w:val="00576693"/>
    <w:rsid w:val="00576EDE"/>
    <w:rsid w:val="0057702F"/>
    <w:rsid w:val="00580FEB"/>
    <w:rsid w:val="00581342"/>
    <w:rsid w:val="00587EA6"/>
    <w:rsid w:val="00590723"/>
    <w:rsid w:val="005936E4"/>
    <w:rsid w:val="00596F1D"/>
    <w:rsid w:val="005A1857"/>
    <w:rsid w:val="005A29F3"/>
    <w:rsid w:val="005A2F13"/>
    <w:rsid w:val="005A31ED"/>
    <w:rsid w:val="005A381C"/>
    <w:rsid w:val="005A563A"/>
    <w:rsid w:val="005B4392"/>
    <w:rsid w:val="005D2CC3"/>
    <w:rsid w:val="005D4E77"/>
    <w:rsid w:val="005D7208"/>
    <w:rsid w:val="005F5178"/>
    <w:rsid w:val="005F730E"/>
    <w:rsid w:val="00602D76"/>
    <w:rsid w:val="00604788"/>
    <w:rsid w:val="006128E2"/>
    <w:rsid w:val="0061346C"/>
    <w:rsid w:val="00617913"/>
    <w:rsid w:val="00630FD9"/>
    <w:rsid w:val="00636294"/>
    <w:rsid w:val="006400AC"/>
    <w:rsid w:val="0064025F"/>
    <w:rsid w:val="00643C91"/>
    <w:rsid w:val="00645D28"/>
    <w:rsid w:val="00653815"/>
    <w:rsid w:val="006550CD"/>
    <w:rsid w:val="00656CAF"/>
    <w:rsid w:val="00662F1B"/>
    <w:rsid w:val="00663ECD"/>
    <w:rsid w:val="00665ACA"/>
    <w:rsid w:val="00666E06"/>
    <w:rsid w:val="006709CC"/>
    <w:rsid w:val="006721DA"/>
    <w:rsid w:val="00681425"/>
    <w:rsid w:val="006872ED"/>
    <w:rsid w:val="0069341D"/>
    <w:rsid w:val="006941E0"/>
    <w:rsid w:val="00694C0F"/>
    <w:rsid w:val="006964FD"/>
    <w:rsid w:val="00697042"/>
    <w:rsid w:val="006B4E44"/>
    <w:rsid w:val="006B4E8B"/>
    <w:rsid w:val="006B5396"/>
    <w:rsid w:val="006C041C"/>
    <w:rsid w:val="006C2E14"/>
    <w:rsid w:val="006C6D9A"/>
    <w:rsid w:val="006E1FFF"/>
    <w:rsid w:val="006E784A"/>
    <w:rsid w:val="006F3320"/>
    <w:rsid w:val="006F34E5"/>
    <w:rsid w:val="007006B9"/>
    <w:rsid w:val="007141CA"/>
    <w:rsid w:val="00716415"/>
    <w:rsid w:val="0073451E"/>
    <w:rsid w:val="007441BE"/>
    <w:rsid w:val="00744D22"/>
    <w:rsid w:val="00747453"/>
    <w:rsid w:val="00750F8E"/>
    <w:rsid w:val="00756333"/>
    <w:rsid w:val="00762C7D"/>
    <w:rsid w:val="00763513"/>
    <w:rsid w:val="0076787A"/>
    <w:rsid w:val="00773214"/>
    <w:rsid w:val="0077327B"/>
    <w:rsid w:val="00773F00"/>
    <w:rsid w:val="00774402"/>
    <w:rsid w:val="0078056E"/>
    <w:rsid w:val="00783ACA"/>
    <w:rsid w:val="007846EA"/>
    <w:rsid w:val="00785175"/>
    <w:rsid w:val="0078563B"/>
    <w:rsid w:val="00790F3D"/>
    <w:rsid w:val="00795E2B"/>
    <w:rsid w:val="007973BD"/>
    <w:rsid w:val="007A2C9C"/>
    <w:rsid w:val="007A334D"/>
    <w:rsid w:val="007A797B"/>
    <w:rsid w:val="007B384F"/>
    <w:rsid w:val="007B5192"/>
    <w:rsid w:val="007B537D"/>
    <w:rsid w:val="007C6508"/>
    <w:rsid w:val="007C6C08"/>
    <w:rsid w:val="007C6EF2"/>
    <w:rsid w:val="007D10A1"/>
    <w:rsid w:val="007E2F30"/>
    <w:rsid w:val="007F030C"/>
    <w:rsid w:val="007F2DEE"/>
    <w:rsid w:val="007F47AA"/>
    <w:rsid w:val="007F4F86"/>
    <w:rsid w:val="007F561F"/>
    <w:rsid w:val="008015D3"/>
    <w:rsid w:val="00803E53"/>
    <w:rsid w:val="008058CF"/>
    <w:rsid w:val="00805A40"/>
    <w:rsid w:val="00805EE8"/>
    <w:rsid w:val="00807E7A"/>
    <w:rsid w:val="008107E9"/>
    <w:rsid w:val="00815A40"/>
    <w:rsid w:val="00816097"/>
    <w:rsid w:val="00832C5C"/>
    <w:rsid w:val="00836BAA"/>
    <w:rsid w:val="00837B3C"/>
    <w:rsid w:val="00843E56"/>
    <w:rsid w:val="008474D2"/>
    <w:rsid w:val="00852556"/>
    <w:rsid w:val="00855117"/>
    <w:rsid w:val="008558A9"/>
    <w:rsid w:val="0086468B"/>
    <w:rsid w:val="00864D41"/>
    <w:rsid w:val="008664A3"/>
    <w:rsid w:val="008703B2"/>
    <w:rsid w:val="00876ED0"/>
    <w:rsid w:val="008805D8"/>
    <w:rsid w:val="00880990"/>
    <w:rsid w:val="0088440F"/>
    <w:rsid w:val="0088677D"/>
    <w:rsid w:val="00891087"/>
    <w:rsid w:val="008950FF"/>
    <w:rsid w:val="0089579B"/>
    <w:rsid w:val="008A43F5"/>
    <w:rsid w:val="008A4E3F"/>
    <w:rsid w:val="008A590F"/>
    <w:rsid w:val="008B7B36"/>
    <w:rsid w:val="008C0521"/>
    <w:rsid w:val="008C2A23"/>
    <w:rsid w:val="008C3AF3"/>
    <w:rsid w:val="008C4231"/>
    <w:rsid w:val="008C4A5D"/>
    <w:rsid w:val="008D2D2E"/>
    <w:rsid w:val="008D5949"/>
    <w:rsid w:val="008E21A3"/>
    <w:rsid w:val="008E36E3"/>
    <w:rsid w:val="008F65D9"/>
    <w:rsid w:val="008F6610"/>
    <w:rsid w:val="00900BB0"/>
    <w:rsid w:val="00901526"/>
    <w:rsid w:val="0090345B"/>
    <w:rsid w:val="00905967"/>
    <w:rsid w:val="00905968"/>
    <w:rsid w:val="00907453"/>
    <w:rsid w:val="0091148F"/>
    <w:rsid w:val="009155C3"/>
    <w:rsid w:val="0091624A"/>
    <w:rsid w:val="009162C1"/>
    <w:rsid w:val="0092344D"/>
    <w:rsid w:val="009257A7"/>
    <w:rsid w:val="009314E1"/>
    <w:rsid w:val="00932498"/>
    <w:rsid w:val="00942BB3"/>
    <w:rsid w:val="009435A4"/>
    <w:rsid w:val="0094418A"/>
    <w:rsid w:val="009475D3"/>
    <w:rsid w:val="009507C1"/>
    <w:rsid w:val="00955C9B"/>
    <w:rsid w:val="00961FEE"/>
    <w:rsid w:val="009645B1"/>
    <w:rsid w:val="00964DA8"/>
    <w:rsid w:val="0096516E"/>
    <w:rsid w:val="009671CA"/>
    <w:rsid w:val="00976711"/>
    <w:rsid w:val="009776D4"/>
    <w:rsid w:val="009805F1"/>
    <w:rsid w:val="00984FB2"/>
    <w:rsid w:val="009869D4"/>
    <w:rsid w:val="00987120"/>
    <w:rsid w:val="0098799F"/>
    <w:rsid w:val="009908A5"/>
    <w:rsid w:val="00993B2F"/>
    <w:rsid w:val="009A3AD7"/>
    <w:rsid w:val="009A6BD9"/>
    <w:rsid w:val="009A721E"/>
    <w:rsid w:val="009B0534"/>
    <w:rsid w:val="009B0916"/>
    <w:rsid w:val="009B2FBD"/>
    <w:rsid w:val="009B36A8"/>
    <w:rsid w:val="009B3A6A"/>
    <w:rsid w:val="009B675E"/>
    <w:rsid w:val="009B725D"/>
    <w:rsid w:val="009C0AE4"/>
    <w:rsid w:val="009C2406"/>
    <w:rsid w:val="009C5179"/>
    <w:rsid w:val="009D17BB"/>
    <w:rsid w:val="009D35A2"/>
    <w:rsid w:val="009D74CD"/>
    <w:rsid w:val="009E2EB4"/>
    <w:rsid w:val="009E68C3"/>
    <w:rsid w:val="00A0015B"/>
    <w:rsid w:val="00A053CF"/>
    <w:rsid w:val="00A079AE"/>
    <w:rsid w:val="00A147F0"/>
    <w:rsid w:val="00A1491B"/>
    <w:rsid w:val="00A156D5"/>
    <w:rsid w:val="00A25718"/>
    <w:rsid w:val="00A316F8"/>
    <w:rsid w:val="00A32C08"/>
    <w:rsid w:val="00A35878"/>
    <w:rsid w:val="00A44135"/>
    <w:rsid w:val="00A449C5"/>
    <w:rsid w:val="00A53CAF"/>
    <w:rsid w:val="00A63214"/>
    <w:rsid w:val="00A64F41"/>
    <w:rsid w:val="00A6754C"/>
    <w:rsid w:val="00A67AA5"/>
    <w:rsid w:val="00A75C30"/>
    <w:rsid w:val="00A81444"/>
    <w:rsid w:val="00A81A38"/>
    <w:rsid w:val="00A91366"/>
    <w:rsid w:val="00A92BDE"/>
    <w:rsid w:val="00A93026"/>
    <w:rsid w:val="00A979EC"/>
    <w:rsid w:val="00AA0FE2"/>
    <w:rsid w:val="00AA25B4"/>
    <w:rsid w:val="00AA3869"/>
    <w:rsid w:val="00AA6E27"/>
    <w:rsid w:val="00AB22DB"/>
    <w:rsid w:val="00AB5438"/>
    <w:rsid w:val="00AC2514"/>
    <w:rsid w:val="00AC26EF"/>
    <w:rsid w:val="00AC6D09"/>
    <w:rsid w:val="00AC6D56"/>
    <w:rsid w:val="00AC7C71"/>
    <w:rsid w:val="00AD13AB"/>
    <w:rsid w:val="00AD3E92"/>
    <w:rsid w:val="00AD692C"/>
    <w:rsid w:val="00AE47C5"/>
    <w:rsid w:val="00AE650B"/>
    <w:rsid w:val="00AF3902"/>
    <w:rsid w:val="00AF6A10"/>
    <w:rsid w:val="00AF6C4D"/>
    <w:rsid w:val="00B10CED"/>
    <w:rsid w:val="00B11680"/>
    <w:rsid w:val="00B21C31"/>
    <w:rsid w:val="00B26FE4"/>
    <w:rsid w:val="00B27953"/>
    <w:rsid w:val="00B35222"/>
    <w:rsid w:val="00B3750C"/>
    <w:rsid w:val="00B4011B"/>
    <w:rsid w:val="00B40E57"/>
    <w:rsid w:val="00B41EE4"/>
    <w:rsid w:val="00B46FD9"/>
    <w:rsid w:val="00B537CB"/>
    <w:rsid w:val="00B53C44"/>
    <w:rsid w:val="00B55960"/>
    <w:rsid w:val="00B57031"/>
    <w:rsid w:val="00B63E7C"/>
    <w:rsid w:val="00B75CAD"/>
    <w:rsid w:val="00B908DC"/>
    <w:rsid w:val="00B97865"/>
    <w:rsid w:val="00B97927"/>
    <w:rsid w:val="00BB1A29"/>
    <w:rsid w:val="00BB6379"/>
    <w:rsid w:val="00BC36AF"/>
    <w:rsid w:val="00BC515B"/>
    <w:rsid w:val="00BD3722"/>
    <w:rsid w:val="00BD5C02"/>
    <w:rsid w:val="00BE4929"/>
    <w:rsid w:val="00BE4FF6"/>
    <w:rsid w:val="00BF00EF"/>
    <w:rsid w:val="00BF054A"/>
    <w:rsid w:val="00BF448A"/>
    <w:rsid w:val="00C021C8"/>
    <w:rsid w:val="00C0357D"/>
    <w:rsid w:val="00C04129"/>
    <w:rsid w:val="00C074E2"/>
    <w:rsid w:val="00C1022B"/>
    <w:rsid w:val="00C12FA5"/>
    <w:rsid w:val="00C1335D"/>
    <w:rsid w:val="00C204E6"/>
    <w:rsid w:val="00C210AE"/>
    <w:rsid w:val="00C31E4C"/>
    <w:rsid w:val="00C335BB"/>
    <w:rsid w:val="00C33907"/>
    <w:rsid w:val="00C37741"/>
    <w:rsid w:val="00C419CA"/>
    <w:rsid w:val="00C41F29"/>
    <w:rsid w:val="00C42DE3"/>
    <w:rsid w:val="00C44AA7"/>
    <w:rsid w:val="00C56A5A"/>
    <w:rsid w:val="00C57AEC"/>
    <w:rsid w:val="00C6276B"/>
    <w:rsid w:val="00C634EB"/>
    <w:rsid w:val="00C71E24"/>
    <w:rsid w:val="00C74C67"/>
    <w:rsid w:val="00C76D32"/>
    <w:rsid w:val="00C83358"/>
    <w:rsid w:val="00C85109"/>
    <w:rsid w:val="00C900B9"/>
    <w:rsid w:val="00C90C45"/>
    <w:rsid w:val="00C91991"/>
    <w:rsid w:val="00C935C1"/>
    <w:rsid w:val="00C941A8"/>
    <w:rsid w:val="00CA0B16"/>
    <w:rsid w:val="00CA1BA9"/>
    <w:rsid w:val="00CA1D1C"/>
    <w:rsid w:val="00CA2AF8"/>
    <w:rsid w:val="00CA43D8"/>
    <w:rsid w:val="00CA4FBD"/>
    <w:rsid w:val="00CA69B7"/>
    <w:rsid w:val="00CA6AD5"/>
    <w:rsid w:val="00CB4242"/>
    <w:rsid w:val="00CB639A"/>
    <w:rsid w:val="00CB75CD"/>
    <w:rsid w:val="00CB76ED"/>
    <w:rsid w:val="00CC1E0F"/>
    <w:rsid w:val="00CC4188"/>
    <w:rsid w:val="00CC690D"/>
    <w:rsid w:val="00CC69FA"/>
    <w:rsid w:val="00CD4ECF"/>
    <w:rsid w:val="00CD7DD3"/>
    <w:rsid w:val="00CE09C1"/>
    <w:rsid w:val="00CE28D9"/>
    <w:rsid w:val="00CE2D98"/>
    <w:rsid w:val="00CF7989"/>
    <w:rsid w:val="00D00865"/>
    <w:rsid w:val="00D1031D"/>
    <w:rsid w:val="00D11426"/>
    <w:rsid w:val="00D140F0"/>
    <w:rsid w:val="00D223BC"/>
    <w:rsid w:val="00D226BA"/>
    <w:rsid w:val="00D24094"/>
    <w:rsid w:val="00D33E19"/>
    <w:rsid w:val="00D37D79"/>
    <w:rsid w:val="00D43A11"/>
    <w:rsid w:val="00D50514"/>
    <w:rsid w:val="00D522F6"/>
    <w:rsid w:val="00D52533"/>
    <w:rsid w:val="00D54112"/>
    <w:rsid w:val="00D61B4D"/>
    <w:rsid w:val="00D6303D"/>
    <w:rsid w:val="00D63547"/>
    <w:rsid w:val="00D66E74"/>
    <w:rsid w:val="00D76A63"/>
    <w:rsid w:val="00D80604"/>
    <w:rsid w:val="00D80820"/>
    <w:rsid w:val="00D826DD"/>
    <w:rsid w:val="00D8274C"/>
    <w:rsid w:val="00D830F3"/>
    <w:rsid w:val="00D944BA"/>
    <w:rsid w:val="00D944C1"/>
    <w:rsid w:val="00D949C0"/>
    <w:rsid w:val="00DA0E9B"/>
    <w:rsid w:val="00DA31B0"/>
    <w:rsid w:val="00DA417F"/>
    <w:rsid w:val="00DA44D2"/>
    <w:rsid w:val="00DA5D62"/>
    <w:rsid w:val="00DA68B5"/>
    <w:rsid w:val="00DB3A7E"/>
    <w:rsid w:val="00DC2C62"/>
    <w:rsid w:val="00DD669A"/>
    <w:rsid w:val="00DE0103"/>
    <w:rsid w:val="00DE797D"/>
    <w:rsid w:val="00DF6B9D"/>
    <w:rsid w:val="00E00315"/>
    <w:rsid w:val="00E00B02"/>
    <w:rsid w:val="00E0154F"/>
    <w:rsid w:val="00E1260D"/>
    <w:rsid w:val="00E13439"/>
    <w:rsid w:val="00E168B3"/>
    <w:rsid w:val="00E24D90"/>
    <w:rsid w:val="00E27673"/>
    <w:rsid w:val="00E3297E"/>
    <w:rsid w:val="00E35D84"/>
    <w:rsid w:val="00E41FDD"/>
    <w:rsid w:val="00E4324E"/>
    <w:rsid w:val="00E5617A"/>
    <w:rsid w:val="00E56B28"/>
    <w:rsid w:val="00E63203"/>
    <w:rsid w:val="00E80E29"/>
    <w:rsid w:val="00E84DD2"/>
    <w:rsid w:val="00E85239"/>
    <w:rsid w:val="00E926F4"/>
    <w:rsid w:val="00E97719"/>
    <w:rsid w:val="00EA07CE"/>
    <w:rsid w:val="00EA1FB2"/>
    <w:rsid w:val="00EA3B64"/>
    <w:rsid w:val="00EA422C"/>
    <w:rsid w:val="00EA7E2A"/>
    <w:rsid w:val="00EB2102"/>
    <w:rsid w:val="00EB3544"/>
    <w:rsid w:val="00EB4A9C"/>
    <w:rsid w:val="00EC3D7B"/>
    <w:rsid w:val="00EC5E4E"/>
    <w:rsid w:val="00ED3D2D"/>
    <w:rsid w:val="00EE0124"/>
    <w:rsid w:val="00EE0FB6"/>
    <w:rsid w:val="00EE2593"/>
    <w:rsid w:val="00EE324E"/>
    <w:rsid w:val="00EE6537"/>
    <w:rsid w:val="00EE7A03"/>
    <w:rsid w:val="00EE7FFC"/>
    <w:rsid w:val="00EF060F"/>
    <w:rsid w:val="00EF5886"/>
    <w:rsid w:val="00F0614D"/>
    <w:rsid w:val="00F06FAC"/>
    <w:rsid w:val="00F1178F"/>
    <w:rsid w:val="00F14347"/>
    <w:rsid w:val="00F14996"/>
    <w:rsid w:val="00F216DA"/>
    <w:rsid w:val="00F22362"/>
    <w:rsid w:val="00F266DD"/>
    <w:rsid w:val="00F3463E"/>
    <w:rsid w:val="00F47A16"/>
    <w:rsid w:val="00F50E77"/>
    <w:rsid w:val="00F5294B"/>
    <w:rsid w:val="00F617A1"/>
    <w:rsid w:val="00F650B3"/>
    <w:rsid w:val="00F67556"/>
    <w:rsid w:val="00F73EA2"/>
    <w:rsid w:val="00F74C51"/>
    <w:rsid w:val="00F74F76"/>
    <w:rsid w:val="00F8150F"/>
    <w:rsid w:val="00F86361"/>
    <w:rsid w:val="00F900F1"/>
    <w:rsid w:val="00F91663"/>
    <w:rsid w:val="00F96AFC"/>
    <w:rsid w:val="00FB0B45"/>
    <w:rsid w:val="00FC3D6A"/>
    <w:rsid w:val="00FC61CE"/>
    <w:rsid w:val="00FC6DA4"/>
    <w:rsid w:val="00FE0C25"/>
    <w:rsid w:val="00FE309C"/>
    <w:rsid w:val="00FE47CE"/>
    <w:rsid w:val="00FF22D0"/>
    <w:rsid w:val="00FF2470"/>
    <w:rsid w:val="00FF2B91"/>
    <w:rsid w:val="00FF7F09"/>
    <w:rsid w:val="05934A17"/>
    <w:rsid w:val="07877E41"/>
    <w:rsid w:val="0B9F568F"/>
    <w:rsid w:val="1652FDA3"/>
    <w:rsid w:val="1E5B574E"/>
    <w:rsid w:val="24C1D504"/>
    <w:rsid w:val="2619186B"/>
    <w:rsid w:val="28692722"/>
    <w:rsid w:val="30E1EF41"/>
    <w:rsid w:val="324D5015"/>
    <w:rsid w:val="347631EB"/>
    <w:rsid w:val="35338934"/>
    <w:rsid w:val="3F0D0C6D"/>
    <w:rsid w:val="4315DED4"/>
    <w:rsid w:val="53C339F1"/>
    <w:rsid w:val="53CD93B8"/>
    <w:rsid w:val="64580B37"/>
    <w:rsid w:val="681221ED"/>
    <w:rsid w:val="687073AE"/>
    <w:rsid w:val="6B8FCA12"/>
    <w:rsid w:val="711C4964"/>
    <w:rsid w:val="7F59CC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A41062"/>
  <w15:chartTrackingRefBased/>
  <w15:docId w15:val="{0BD81C77-3A5B-412D-B539-359A31F9D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887"/>
    <w:rPr>
      <w:kern w:val="0"/>
      <w14:ligatures w14:val="none"/>
    </w:rPr>
  </w:style>
  <w:style w:type="paragraph" w:styleId="Heading1">
    <w:name w:val="heading 1"/>
    <w:basedOn w:val="Normal"/>
    <w:next w:val="Normal"/>
    <w:link w:val="Heading1Char"/>
    <w:uiPriority w:val="9"/>
    <w:qFormat/>
    <w:rsid w:val="00E134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34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34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34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34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34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34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34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34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4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34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34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34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34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34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34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34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3439"/>
    <w:rPr>
      <w:rFonts w:eastAsiaTheme="majorEastAsia" w:cstheme="majorBidi"/>
      <w:color w:val="272727" w:themeColor="text1" w:themeTint="D8"/>
    </w:rPr>
  </w:style>
  <w:style w:type="paragraph" w:styleId="Title">
    <w:name w:val="Title"/>
    <w:basedOn w:val="Normal"/>
    <w:next w:val="Normal"/>
    <w:link w:val="TitleChar"/>
    <w:uiPriority w:val="10"/>
    <w:qFormat/>
    <w:rsid w:val="00E134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4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34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4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3439"/>
    <w:pPr>
      <w:spacing w:before="160"/>
      <w:jc w:val="center"/>
    </w:pPr>
    <w:rPr>
      <w:i/>
      <w:iCs/>
      <w:color w:val="404040" w:themeColor="text1" w:themeTint="BF"/>
    </w:rPr>
  </w:style>
  <w:style w:type="character" w:customStyle="1" w:styleId="QuoteChar">
    <w:name w:val="Quote Char"/>
    <w:basedOn w:val="DefaultParagraphFont"/>
    <w:link w:val="Quote"/>
    <w:uiPriority w:val="29"/>
    <w:rsid w:val="00E13439"/>
    <w:rPr>
      <w:i/>
      <w:iCs/>
      <w:color w:val="404040" w:themeColor="text1" w:themeTint="BF"/>
    </w:rPr>
  </w:style>
  <w:style w:type="paragraph" w:styleId="ListParagraph">
    <w:name w:val="List Paragraph"/>
    <w:basedOn w:val="Normal"/>
    <w:uiPriority w:val="34"/>
    <w:qFormat/>
    <w:rsid w:val="00E13439"/>
    <w:pPr>
      <w:ind w:left="720"/>
      <w:contextualSpacing/>
    </w:pPr>
  </w:style>
  <w:style w:type="character" w:styleId="IntenseEmphasis">
    <w:name w:val="Intense Emphasis"/>
    <w:basedOn w:val="DefaultParagraphFont"/>
    <w:uiPriority w:val="21"/>
    <w:qFormat/>
    <w:rsid w:val="00E13439"/>
    <w:rPr>
      <w:i/>
      <w:iCs/>
      <w:color w:val="2F5496" w:themeColor="accent1" w:themeShade="BF"/>
    </w:rPr>
  </w:style>
  <w:style w:type="paragraph" w:styleId="IntenseQuote">
    <w:name w:val="Intense Quote"/>
    <w:basedOn w:val="Normal"/>
    <w:next w:val="Normal"/>
    <w:link w:val="IntenseQuoteChar"/>
    <w:uiPriority w:val="30"/>
    <w:qFormat/>
    <w:rsid w:val="00E134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3439"/>
    <w:rPr>
      <w:i/>
      <w:iCs/>
      <w:color w:val="2F5496" w:themeColor="accent1" w:themeShade="BF"/>
    </w:rPr>
  </w:style>
  <w:style w:type="character" w:styleId="IntenseReference">
    <w:name w:val="Intense Reference"/>
    <w:basedOn w:val="DefaultParagraphFont"/>
    <w:uiPriority w:val="32"/>
    <w:qFormat/>
    <w:rsid w:val="00E13439"/>
    <w:rPr>
      <w:b/>
      <w:bCs/>
      <w:smallCaps/>
      <w:color w:val="2F5496" w:themeColor="accent1" w:themeShade="BF"/>
      <w:spacing w:val="5"/>
    </w:rPr>
  </w:style>
  <w:style w:type="paragraph" w:styleId="Header">
    <w:name w:val="header"/>
    <w:basedOn w:val="Normal"/>
    <w:link w:val="HeaderChar"/>
    <w:uiPriority w:val="99"/>
    <w:unhideWhenUsed/>
    <w:rsid w:val="00E63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203"/>
  </w:style>
  <w:style w:type="paragraph" w:styleId="Footer">
    <w:name w:val="footer"/>
    <w:basedOn w:val="Normal"/>
    <w:link w:val="FooterChar"/>
    <w:uiPriority w:val="99"/>
    <w:unhideWhenUsed/>
    <w:rsid w:val="00E63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203"/>
  </w:style>
  <w:style w:type="paragraph" w:styleId="Caption">
    <w:name w:val="caption"/>
    <w:basedOn w:val="Normal"/>
    <w:next w:val="Normal"/>
    <w:uiPriority w:val="35"/>
    <w:unhideWhenUsed/>
    <w:qFormat/>
    <w:rsid w:val="00173887"/>
    <w:pPr>
      <w:spacing w:after="200" w:line="240" w:lineRule="auto"/>
    </w:pPr>
    <w:rPr>
      <w:rFonts w:ascii="Times New Roman" w:eastAsia="Times New Roman" w:hAnsi="Times New Roman" w:cs="Times New Roman"/>
      <w:i/>
      <w:iCs/>
      <w:color w:val="44546A" w:themeColor="text2"/>
      <w:sz w:val="18"/>
      <w:szCs w:val="18"/>
    </w:rPr>
  </w:style>
  <w:style w:type="character" w:styleId="Hyperlink">
    <w:name w:val="Hyperlink"/>
    <w:basedOn w:val="DefaultParagraphFont"/>
    <w:uiPriority w:val="99"/>
    <w:unhideWhenUsed/>
    <w:rsid w:val="00B46FD9"/>
    <w:rPr>
      <w:color w:val="0000FF"/>
      <w:u w:val="single"/>
    </w:rPr>
  </w:style>
  <w:style w:type="character" w:styleId="CommentReference">
    <w:name w:val="annotation reference"/>
    <w:basedOn w:val="DefaultParagraphFont"/>
    <w:uiPriority w:val="99"/>
    <w:semiHidden/>
    <w:unhideWhenUsed/>
    <w:rsid w:val="00A979EC"/>
    <w:rPr>
      <w:sz w:val="16"/>
      <w:szCs w:val="16"/>
    </w:rPr>
  </w:style>
  <w:style w:type="paragraph" w:styleId="CommentText">
    <w:name w:val="annotation text"/>
    <w:basedOn w:val="Normal"/>
    <w:link w:val="CommentTextChar"/>
    <w:uiPriority w:val="99"/>
    <w:unhideWhenUsed/>
    <w:rsid w:val="00A979EC"/>
    <w:pPr>
      <w:spacing w:line="240" w:lineRule="auto"/>
    </w:pPr>
    <w:rPr>
      <w:sz w:val="20"/>
      <w:szCs w:val="20"/>
    </w:rPr>
  </w:style>
  <w:style w:type="character" w:customStyle="1" w:styleId="CommentTextChar">
    <w:name w:val="Comment Text Char"/>
    <w:basedOn w:val="DefaultParagraphFont"/>
    <w:link w:val="CommentText"/>
    <w:uiPriority w:val="99"/>
    <w:rsid w:val="00A979EC"/>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979EC"/>
    <w:rPr>
      <w:b/>
      <w:bCs/>
    </w:rPr>
  </w:style>
  <w:style w:type="character" w:customStyle="1" w:styleId="CommentSubjectChar">
    <w:name w:val="Comment Subject Char"/>
    <w:basedOn w:val="CommentTextChar"/>
    <w:link w:val="CommentSubject"/>
    <w:uiPriority w:val="99"/>
    <w:semiHidden/>
    <w:rsid w:val="00A979EC"/>
    <w:rPr>
      <w:b/>
      <w:bCs/>
      <w:kern w:val="0"/>
      <w:sz w:val="20"/>
      <w:szCs w:val="20"/>
      <w14:ligatures w14:val="none"/>
    </w:rPr>
  </w:style>
  <w:style w:type="character" w:styleId="FollowedHyperlink">
    <w:name w:val="FollowedHyperlink"/>
    <w:basedOn w:val="DefaultParagraphFont"/>
    <w:uiPriority w:val="99"/>
    <w:semiHidden/>
    <w:unhideWhenUsed/>
    <w:rsid w:val="007A334D"/>
    <w:rPr>
      <w:color w:val="954F72" w:themeColor="followedHyperlink"/>
      <w:u w:val="single"/>
    </w:rPr>
  </w:style>
  <w:style w:type="paragraph" w:styleId="Revision">
    <w:name w:val="Revision"/>
    <w:hidden/>
    <w:uiPriority w:val="99"/>
    <w:semiHidden/>
    <w:rsid w:val="00E85239"/>
    <w:pPr>
      <w:spacing w:after="0" w:line="240" w:lineRule="auto"/>
    </w:pPr>
    <w:rPr>
      <w:kern w:val="0"/>
      <w14:ligatures w14:val="none"/>
    </w:rPr>
  </w:style>
  <w:style w:type="character" w:styleId="UnresolvedMention">
    <w:name w:val="Unresolved Mention"/>
    <w:basedOn w:val="DefaultParagraphFont"/>
    <w:uiPriority w:val="99"/>
    <w:semiHidden/>
    <w:unhideWhenUsed/>
    <w:rsid w:val="00836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rchantscapital.com" TargetMode="External"/><Relationship Id="rId13" Type="http://schemas.openxmlformats.org/officeDocument/2006/relationships/hyperlink" Target="https://www.facebook.com/MerchantsCapital/" TargetMode="External"/><Relationship Id="rId18" Type="http://schemas.openxmlformats.org/officeDocument/2006/relationships/hyperlink" Target="https://mf.freddiemac.com/investors/q-deal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merchantscapital.com/" TargetMode="External"/><Relationship Id="rId7" Type="http://schemas.openxmlformats.org/officeDocument/2006/relationships/image" Target="media/image1.jpeg"/><Relationship Id="rId12" Type="http://schemas.openxmlformats.org/officeDocument/2006/relationships/hyperlink" Target="https://www.merchantscapital.com/" TargetMode="External"/><Relationship Id="rId17" Type="http://schemas.openxmlformats.org/officeDocument/2006/relationships/hyperlink" Target="https://www.instagram.com/merchantscapita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stagram.com/merchantscapital/" TargetMode="External"/><Relationship Id="rId20" Type="http://schemas.openxmlformats.org/officeDocument/2006/relationships/hyperlink" Target="https://www.housingfinance.com/Finance/ahf-top-25-lenders-uncertain-for-longer_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rchantscapital.com/"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linkedin.com/company/merchantscapital/" TargetMode="External"/><Relationship Id="rId23" Type="http://schemas.openxmlformats.org/officeDocument/2006/relationships/header" Target="header1.xml"/><Relationship Id="rId10" Type="http://schemas.openxmlformats.org/officeDocument/2006/relationships/hyperlink" Target="https://mf.freddiemac.com/docs/q_deal_performance.pdf" TargetMode="External"/><Relationship Id="rId19" Type="http://schemas.openxmlformats.org/officeDocument/2006/relationships/hyperlink" Target="https://investors.merchantsbancorp.com/corporate-profile/corporate-profile/default.aspx" TargetMode="External"/><Relationship Id="rId4" Type="http://schemas.openxmlformats.org/officeDocument/2006/relationships/webSettings" Target="webSettings.xml"/><Relationship Id="rId9" Type="http://schemas.openxmlformats.org/officeDocument/2006/relationships/hyperlink" Target="http://www.merchantscapital.com" TargetMode="External"/><Relationship Id="rId14" Type="http://schemas.openxmlformats.org/officeDocument/2006/relationships/hyperlink" Target="https://twitter.com/MerchantsCap"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deb9987d-124f-4f50-ab23-3f017313d6bd}" enabled="1" method="Standard" siteId="{2c660126-d644-4ce3-a607-958c59eaf0a3}"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2</Pages>
  <Words>1026</Words>
  <Characters>5853</Characters>
  <Application>Microsoft Office Word</Application>
  <DocSecurity>0</DocSecurity>
  <Lines>48</Lines>
  <Paragraphs>13</Paragraphs>
  <ScaleCrop>false</ScaleCrop>
  <Company>Merchants</Company>
  <LinksUpToDate>false</LinksUpToDate>
  <CharactersWithSpaces>6866</CharactersWithSpaces>
  <SharedDoc>false</SharedDoc>
  <HLinks>
    <vt:vector size="78" baseType="variant">
      <vt:variant>
        <vt:i4>4587590</vt:i4>
      </vt:variant>
      <vt:variant>
        <vt:i4>36</vt:i4>
      </vt:variant>
      <vt:variant>
        <vt:i4>0</vt:i4>
      </vt:variant>
      <vt:variant>
        <vt:i4>5</vt:i4>
      </vt:variant>
      <vt:variant>
        <vt:lpwstr>http://www.merchantscapital.com/</vt:lpwstr>
      </vt:variant>
      <vt:variant>
        <vt:lpwstr/>
      </vt:variant>
      <vt:variant>
        <vt:i4>1704051</vt:i4>
      </vt:variant>
      <vt:variant>
        <vt:i4>33</vt:i4>
      </vt:variant>
      <vt:variant>
        <vt:i4>0</vt:i4>
      </vt:variant>
      <vt:variant>
        <vt:i4>5</vt:i4>
      </vt:variant>
      <vt:variant>
        <vt:lpwstr>https://www.housingfinance.com/Finance/ahf-top-25-lenders-uncertain-for-longer_o</vt:lpwstr>
      </vt:variant>
      <vt:variant>
        <vt:lpwstr/>
      </vt:variant>
      <vt:variant>
        <vt:i4>8126584</vt:i4>
      </vt:variant>
      <vt:variant>
        <vt:i4>30</vt:i4>
      </vt:variant>
      <vt:variant>
        <vt:i4>0</vt:i4>
      </vt:variant>
      <vt:variant>
        <vt:i4>5</vt:i4>
      </vt:variant>
      <vt:variant>
        <vt:lpwstr>https://mf.freddiemac.com/investors/q-deals</vt:lpwstr>
      </vt:variant>
      <vt:variant>
        <vt:lpwstr/>
      </vt:variant>
      <vt:variant>
        <vt:i4>2228265</vt:i4>
      </vt:variant>
      <vt:variant>
        <vt:i4>27</vt:i4>
      </vt:variant>
      <vt:variant>
        <vt:i4>0</vt:i4>
      </vt:variant>
      <vt:variant>
        <vt:i4>5</vt:i4>
      </vt:variant>
      <vt:variant>
        <vt:lpwstr>https://www.instagram.com/merchantscapital/</vt:lpwstr>
      </vt:variant>
      <vt:variant>
        <vt:lpwstr/>
      </vt:variant>
      <vt:variant>
        <vt:i4>2228265</vt:i4>
      </vt:variant>
      <vt:variant>
        <vt:i4>24</vt:i4>
      </vt:variant>
      <vt:variant>
        <vt:i4>0</vt:i4>
      </vt:variant>
      <vt:variant>
        <vt:i4>5</vt:i4>
      </vt:variant>
      <vt:variant>
        <vt:lpwstr>https://www.instagram.com/merchantscapital/</vt:lpwstr>
      </vt:variant>
      <vt:variant>
        <vt:lpwstr/>
      </vt:variant>
      <vt:variant>
        <vt:i4>7602278</vt:i4>
      </vt:variant>
      <vt:variant>
        <vt:i4>21</vt:i4>
      </vt:variant>
      <vt:variant>
        <vt:i4>0</vt:i4>
      </vt:variant>
      <vt:variant>
        <vt:i4>5</vt:i4>
      </vt:variant>
      <vt:variant>
        <vt:lpwstr>https://www.linkedin.com/company/merchantscapital/</vt:lpwstr>
      </vt:variant>
      <vt:variant>
        <vt:lpwstr/>
      </vt:variant>
      <vt:variant>
        <vt:i4>1638494</vt:i4>
      </vt:variant>
      <vt:variant>
        <vt:i4>18</vt:i4>
      </vt:variant>
      <vt:variant>
        <vt:i4>0</vt:i4>
      </vt:variant>
      <vt:variant>
        <vt:i4>5</vt:i4>
      </vt:variant>
      <vt:variant>
        <vt:lpwstr>https://twitter.com/MerchantsCap</vt:lpwstr>
      </vt:variant>
      <vt:variant>
        <vt:lpwstr/>
      </vt:variant>
      <vt:variant>
        <vt:i4>6946878</vt:i4>
      </vt:variant>
      <vt:variant>
        <vt:i4>15</vt:i4>
      </vt:variant>
      <vt:variant>
        <vt:i4>0</vt:i4>
      </vt:variant>
      <vt:variant>
        <vt:i4>5</vt:i4>
      </vt:variant>
      <vt:variant>
        <vt:lpwstr>https://www.facebook.com/MerchantsCapital/</vt:lpwstr>
      </vt:variant>
      <vt:variant>
        <vt:lpwstr/>
      </vt:variant>
      <vt:variant>
        <vt:i4>6160386</vt:i4>
      </vt:variant>
      <vt:variant>
        <vt:i4>12</vt:i4>
      </vt:variant>
      <vt:variant>
        <vt:i4>0</vt:i4>
      </vt:variant>
      <vt:variant>
        <vt:i4>5</vt:i4>
      </vt:variant>
      <vt:variant>
        <vt:lpwstr>https://www.merchantscapital.com/</vt:lpwstr>
      </vt:variant>
      <vt:variant>
        <vt:lpwstr/>
      </vt:variant>
      <vt:variant>
        <vt:i4>6160386</vt:i4>
      </vt:variant>
      <vt:variant>
        <vt:i4>9</vt:i4>
      </vt:variant>
      <vt:variant>
        <vt:i4>0</vt:i4>
      </vt:variant>
      <vt:variant>
        <vt:i4>5</vt:i4>
      </vt:variant>
      <vt:variant>
        <vt:lpwstr>https://www.merchantscapital.com/</vt:lpwstr>
      </vt:variant>
      <vt:variant>
        <vt:lpwstr/>
      </vt:variant>
      <vt:variant>
        <vt:i4>7602297</vt:i4>
      </vt:variant>
      <vt:variant>
        <vt:i4>6</vt:i4>
      </vt:variant>
      <vt:variant>
        <vt:i4>0</vt:i4>
      </vt:variant>
      <vt:variant>
        <vt:i4>5</vt:i4>
      </vt:variant>
      <vt:variant>
        <vt:lpwstr>https://mf.freddiemac.com/docs/q_deal_performance.pdf</vt:lpwstr>
      </vt:variant>
      <vt:variant>
        <vt:lpwstr/>
      </vt:variant>
      <vt:variant>
        <vt:i4>4587590</vt:i4>
      </vt:variant>
      <vt:variant>
        <vt:i4>3</vt:i4>
      </vt:variant>
      <vt:variant>
        <vt:i4>0</vt:i4>
      </vt:variant>
      <vt:variant>
        <vt:i4>5</vt:i4>
      </vt:variant>
      <vt:variant>
        <vt:lpwstr>http://www.merchantscapital.com/</vt:lpwstr>
      </vt:variant>
      <vt:variant>
        <vt:lpwstr/>
      </vt:variant>
      <vt:variant>
        <vt:i4>4587590</vt:i4>
      </vt:variant>
      <vt:variant>
        <vt:i4>0</vt:i4>
      </vt:variant>
      <vt:variant>
        <vt:i4>0</vt:i4>
      </vt:variant>
      <vt:variant>
        <vt:i4>5</vt:i4>
      </vt:variant>
      <vt:variant>
        <vt:lpwstr>http://www.merchantscapital.com/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Terra Hoskins</dc:creator>
  <cp:keywords/>
  <dc:description/>
  <cp:lastModifiedBy>Rebecca Marsh</cp:lastModifiedBy>
  <cp:revision>5</cp:revision>
  <dcterms:created xsi:type="dcterms:W3CDTF">2025-07-30T16:34:00Z</dcterms:created>
  <dcterms:modified xsi:type="dcterms:W3CDTF">2025-07-30T16:40:00Z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69cb9db9f917b7784b19e62b3769d3c27e03bb2e752fd0b3ef7c6156bd885852</vt:lpwstr>
  </property>
</Properties>
</file>