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2D" w14:textId="61848EC7" w:rsidR="005C49B4" w:rsidRDefault="004A3630">
      <w:pPr>
        <w:pStyle w:val="Title"/>
      </w:pPr>
      <w:r>
        <w:rPr>
          <w:noProof/>
        </w:rPr>
        <w:drawing>
          <wp:inline distT="0" distB="0" distL="0" distR="0" wp14:anchorId="1AD8ED2E" wp14:editId="6CF508A2">
            <wp:extent cx="970177" cy="1133475"/>
            <wp:effectExtent l="0" t="0" r="1905" b="0"/>
            <wp:docPr id="110752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23097" name="Picture 1"/>
                    <pic:cNvPicPr>
                      <a:picLocks noChangeAspect="1" noChangeArrowheads="1"/>
                    </pic:cNvPicPr>
                  </pic:nvPicPr>
                  <pic:blipFill>
                    <a:blip r:embed="rId9"/>
                    <a:stretch>
                      <a:fillRect/>
                    </a:stretch>
                  </pic:blipFill>
                  <pic:spPr bwMode="auto">
                    <a:xfrm>
                      <a:off x="0" y="0"/>
                      <a:ext cx="970177" cy="1133475"/>
                    </a:xfrm>
                    <a:prstGeom prst="rect">
                      <a:avLst/>
                    </a:prstGeom>
                    <a:noFill/>
                  </pic:spPr>
                </pic:pic>
              </a:graphicData>
            </a:graphic>
          </wp:inline>
        </w:drawing>
      </w:r>
    </w:p>
    <w:p w14:paraId="27D870C2" w14:textId="77777777" w:rsidR="005C49B4" w:rsidRDefault="00DB2B86">
      <w:pPr>
        <w:pStyle w:val="Title"/>
        <w:spacing w:after="0"/>
        <w:rPr>
          <w:smallCaps/>
        </w:rPr>
      </w:pPr>
      <w:r>
        <w:rPr>
          <w:smallCaps/>
        </w:rPr>
        <w:t>Planet Fitness, Inc.</w:t>
      </w:r>
    </w:p>
    <w:p w14:paraId="356A79ED" w14:textId="79556068" w:rsidR="005C49B4" w:rsidRDefault="00DB2B86">
      <w:pPr>
        <w:pStyle w:val="Title"/>
        <w:spacing w:after="0"/>
        <w:rPr>
          <w:smallCaps/>
        </w:rPr>
      </w:pPr>
      <w:r>
        <w:rPr>
          <w:smallCaps/>
        </w:rPr>
        <w:t xml:space="preserve">Compensation </w:t>
      </w:r>
      <w:r w:rsidR="00734389">
        <w:rPr>
          <w:smallCaps/>
        </w:rPr>
        <w:t xml:space="preserve">and Human Capital </w:t>
      </w:r>
      <w:r>
        <w:rPr>
          <w:smallCaps/>
        </w:rPr>
        <w:t>Committee Charter</w:t>
      </w:r>
      <w:r>
        <w:rPr>
          <w:smallCaps/>
        </w:rPr>
        <w:br/>
      </w:r>
    </w:p>
    <w:p w14:paraId="50D43C75" w14:textId="7C6B2FC6" w:rsidR="005C49B4" w:rsidRDefault="00DB2B86">
      <w:pPr>
        <w:pStyle w:val="BodyText"/>
        <w:keepNext/>
        <w:jc w:val="both"/>
      </w:pPr>
      <w:r>
        <w:t>1.</w:t>
      </w:r>
      <w:r>
        <w:tab/>
      </w:r>
      <w:r>
        <w:rPr>
          <w:u w:val="single"/>
        </w:rPr>
        <w:t>Purpose</w:t>
      </w:r>
      <w:proofErr w:type="gramStart"/>
      <w:r>
        <w:t xml:space="preserve">.  </w:t>
      </w:r>
      <w:proofErr w:type="gramEnd"/>
      <w:r>
        <w:t xml:space="preserve">The purpose of the Compensation </w:t>
      </w:r>
      <w:r w:rsidR="00734389">
        <w:t xml:space="preserve">and Human Capital </w:t>
      </w:r>
      <w:r>
        <w:t>Committee (the “</w:t>
      </w:r>
      <w:r>
        <w:rPr>
          <w:u w:val="single"/>
        </w:rPr>
        <w:t>Committee</w:t>
      </w:r>
      <w:r>
        <w:t>”) of the Board of Directors (the “</w:t>
      </w:r>
      <w:r>
        <w:rPr>
          <w:u w:val="single"/>
        </w:rPr>
        <w:t>Board</w:t>
      </w:r>
      <w:r>
        <w:t>”) of Planet Fitness, Inc. (the “</w:t>
      </w:r>
      <w:r>
        <w:rPr>
          <w:u w:val="single"/>
        </w:rPr>
        <w:t>Company</w:t>
      </w:r>
      <w:r>
        <w:t xml:space="preserve">”) is to assist the Board in fulfilling its responsibilities relating to oversight of the compensation and benefits provided to the Company’s officers, employees and directors, and administering the Company’s management incentive compensation plans and equity-based plans.  The Committee shall also assist the Board in management development and succession </w:t>
      </w:r>
      <w:proofErr w:type="gramStart"/>
      <w:r>
        <w:t>planning, and</w:t>
      </w:r>
      <w:proofErr w:type="gramEnd"/>
      <w:r>
        <w:t xml:space="preserve"> assess the adequacy of the Company’s </w:t>
      </w:r>
      <w:r w:rsidR="00F37078">
        <w:t xml:space="preserve">executive </w:t>
      </w:r>
      <w:r>
        <w:t xml:space="preserve">compensation and human capital </w:t>
      </w:r>
      <w:r w:rsidR="00F37078">
        <w:t xml:space="preserve">management </w:t>
      </w:r>
      <w:r>
        <w:t>principles and philosophy</w:t>
      </w:r>
      <w:proofErr w:type="gramStart"/>
      <w:r>
        <w:t xml:space="preserve">.  </w:t>
      </w:r>
      <w:proofErr w:type="gramEnd"/>
      <w:r>
        <w:t>The Committee reports to the Board.</w:t>
      </w:r>
    </w:p>
    <w:p w14:paraId="792039A7" w14:textId="21C5C9D5" w:rsidR="005C49B4" w:rsidRDefault="00DB2B86">
      <w:pPr>
        <w:pStyle w:val="BodyText"/>
        <w:keepNext/>
        <w:jc w:val="both"/>
      </w:pPr>
      <w:r>
        <w:t>2.</w:t>
      </w:r>
      <w:r>
        <w:tab/>
      </w:r>
      <w:r>
        <w:rPr>
          <w:u w:val="single"/>
        </w:rPr>
        <w:t>Composition of the Committee</w:t>
      </w:r>
      <w:proofErr w:type="gramStart"/>
      <w:r>
        <w:t xml:space="preserve">.  </w:t>
      </w:r>
      <w:proofErr w:type="gramEnd"/>
      <w:r>
        <w:t xml:space="preserve">The Committee shall consist of at least three directors, who shall </w:t>
      </w:r>
      <w:proofErr w:type="gramStart"/>
      <w:r>
        <w:t>be appointed</w:t>
      </w:r>
      <w:proofErr w:type="gramEnd"/>
      <w:r>
        <w:t xml:space="preserve"> to the Committee by the Board at the recommendation of the Nominating and Corporate Governance Committee, one of whom shall </w:t>
      </w:r>
      <w:proofErr w:type="gramStart"/>
      <w:r>
        <w:t>be appointed</w:t>
      </w:r>
      <w:proofErr w:type="gramEnd"/>
      <w:r>
        <w:t xml:space="preserve"> as Chairperson of the Committee</w:t>
      </w:r>
      <w:proofErr w:type="gramStart"/>
      <w:r>
        <w:t xml:space="preserve">.  </w:t>
      </w:r>
      <w:proofErr w:type="gramEnd"/>
      <w:r>
        <w:t xml:space="preserve">If the Chairperson </w:t>
      </w:r>
      <w:proofErr w:type="gramStart"/>
      <w:r>
        <w:t>is not so appointed</w:t>
      </w:r>
      <w:proofErr w:type="gramEnd"/>
      <w:r>
        <w:t>,</w:t>
      </w:r>
      <w:r>
        <w:rPr>
          <w:szCs w:val="24"/>
        </w:rPr>
        <w:t xml:space="preserve"> the members of the Committee may elect a </w:t>
      </w:r>
      <w:proofErr w:type="gramStart"/>
      <w:r>
        <w:rPr>
          <w:szCs w:val="24"/>
        </w:rPr>
        <w:t>Chairperson</w:t>
      </w:r>
      <w:proofErr w:type="gramEnd"/>
      <w:r>
        <w:rPr>
          <w:szCs w:val="24"/>
        </w:rPr>
        <w:t xml:space="preserve"> by majority vot</w:t>
      </w:r>
      <w:r>
        <w:t>e of the full Committee membership</w:t>
      </w:r>
      <w:proofErr w:type="gramStart"/>
      <w:r>
        <w:t>.  Committee members may be removed by the Board</w:t>
      </w:r>
      <w:proofErr w:type="gramEnd"/>
      <w:r>
        <w:t xml:space="preserve"> in its discretion</w:t>
      </w:r>
      <w:proofErr w:type="gramStart"/>
      <w:r>
        <w:t xml:space="preserve">.  </w:t>
      </w:r>
      <w:proofErr w:type="gramEnd"/>
      <w:r>
        <w:t>Each member of the Committee shall satisfy the independence requirements of the New York Stock Exchange (the “</w:t>
      </w:r>
      <w:r>
        <w:rPr>
          <w:u w:val="single"/>
        </w:rPr>
        <w:t>NYSE</w:t>
      </w:r>
      <w:r>
        <w:t>”)</w:t>
      </w:r>
      <w:proofErr w:type="gramStart"/>
      <w:r>
        <w:t xml:space="preserve">.  </w:t>
      </w:r>
      <w:proofErr w:type="gramEnd"/>
      <w:r>
        <w:rPr>
          <w:color w:val="000000"/>
        </w:rPr>
        <w:t xml:space="preserve">In determining the independence of any director who will serve on the Committee, the Board will consider, if required, all factors specifically relevant to determining whether a director has a relationship to the Company that is material to that director’s ability to be independent from management in connection with the duties of a Committee member, including, but not limited to: (A) the source of compensation of such director, including any consulting, advisory or other compensatory fee paid by the Company to such director; and (B) whether such director is affiliated with the Company, a subsidiary of the Company or an affiliate of a subsidiary of the Company.  </w:t>
      </w:r>
      <w:r>
        <w:t xml:space="preserve">In addition, each member of the Committee should </w:t>
      </w:r>
      <w:proofErr w:type="gramStart"/>
      <w:r>
        <w:t>generally qualify</w:t>
      </w:r>
      <w:proofErr w:type="gramEnd"/>
      <w:r>
        <w:t xml:space="preserve"> as a “non-employee director” within the meaning of Rule 16b-3 (“</w:t>
      </w:r>
      <w:r>
        <w:rPr>
          <w:u w:val="single"/>
        </w:rPr>
        <w:t>Rule 16b-3</w:t>
      </w:r>
      <w:r>
        <w:t>”) under the Securities Exchange Act of 1934, as amended (the “</w:t>
      </w:r>
      <w:r>
        <w:rPr>
          <w:u w:val="single"/>
        </w:rPr>
        <w:t>Exchange Act</w:t>
      </w:r>
      <w:r>
        <w:t>”)</w:t>
      </w:r>
      <w:proofErr w:type="gramStart"/>
      <w:r>
        <w:t xml:space="preserve">.  </w:t>
      </w:r>
      <w:proofErr w:type="gramEnd"/>
      <w:r>
        <w:t>In the event the Board determines that a director who does not qualify as a “non-employee” director should nevertheless serve on the Committee, appropriate arrangements may be made for a sub-committee of the Committee to act on behalf of the Committee to the extent necessary to satisfy any applicable requirements of Rule 16b-3.</w:t>
      </w:r>
    </w:p>
    <w:p w14:paraId="6450C41C" w14:textId="77777777" w:rsidR="005C49B4" w:rsidRDefault="00DB2B86">
      <w:pPr>
        <w:pStyle w:val="Heading1"/>
        <w:ind w:firstLine="720"/>
        <w:jc w:val="both"/>
      </w:pPr>
      <w:r>
        <w:t>3.</w:t>
      </w:r>
      <w:r>
        <w:tab/>
      </w:r>
      <w:r>
        <w:rPr>
          <w:u w:val="single"/>
        </w:rPr>
        <w:t>Meetings of the Committee</w:t>
      </w:r>
      <w:proofErr w:type="gramStart"/>
      <w:r>
        <w:t xml:space="preserve">.  </w:t>
      </w:r>
      <w:proofErr w:type="gramEnd"/>
      <w:r>
        <w:t>The Committee shall hold regularly scheduled meetings and such special meetings as circumstances dictate, at which a Secretary, designated by the Committee members, shall keep minutes</w:t>
      </w:r>
      <w:proofErr w:type="gramStart"/>
      <w:r>
        <w:t xml:space="preserve">.  </w:t>
      </w:r>
      <w:proofErr w:type="gramEnd"/>
      <w:r>
        <w:t>The Committee shall meet in executive session at least on an annual basis</w:t>
      </w:r>
      <w:proofErr w:type="gramStart"/>
      <w:r>
        <w:t xml:space="preserve">.  </w:t>
      </w:r>
      <w:proofErr w:type="gramEnd"/>
      <w:r>
        <w:t xml:space="preserve">The Committee shall report regularly to the Board regarding </w:t>
      </w:r>
      <w:r>
        <w:rPr>
          <w:szCs w:val="24"/>
        </w:rPr>
        <w:t>the Committee’s activities and actions</w:t>
      </w:r>
      <w:r>
        <w:t>.</w:t>
      </w:r>
    </w:p>
    <w:p w14:paraId="09805D89" w14:textId="5FC1BF4D" w:rsidR="005C49B4" w:rsidRDefault="00DB2B86">
      <w:pPr>
        <w:pStyle w:val="Heading1"/>
        <w:ind w:firstLine="720"/>
      </w:pPr>
      <w:r>
        <w:lastRenderedPageBreak/>
        <w:t>4.</w:t>
      </w:r>
      <w:r>
        <w:tab/>
      </w:r>
      <w:r>
        <w:rPr>
          <w:u w:val="single"/>
        </w:rPr>
        <w:t>Responsibilities and Powers of the Committee</w:t>
      </w:r>
      <w:proofErr w:type="gramStart"/>
      <w:r>
        <w:t xml:space="preserve">. </w:t>
      </w:r>
      <w:r w:rsidR="001412AA">
        <w:t xml:space="preserve"> </w:t>
      </w:r>
      <w:proofErr w:type="gramEnd"/>
      <w:r>
        <w:t>The Committee has direct responsibility and power to perform the following duties:</w:t>
      </w:r>
    </w:p>
    <w:p w14:paraId="1C9111CF" w14:textId="0B3CFAF8" w:rsidR="005C49B4" w:rsidRDefault="00DB2B86">
      <w:pPr>
        <w:pStyle w:val="RBUBullets"/>
        <w:jc w:val="both"/>
      </w:pPr>
      <w:r>
        <w:t>Review and approve the annual corporate performance goals and objectives, relevant to the compensation of the Company’s Chief Executive Officer (the “</w:t>
      </w:r>
      <w:r>
        <w:rPr>
          <w:u w:val="single"/>
        </w:rPr>
        <w:t>CEO</w:t>
      </w:r>
      <w:r>
        <w:t xml:space="preserve">”) and the officers of the Company who report directly to the CEO </w:t>
      </w:r>
      <w:r>
        <w:rPr>
          <w:szCs w:val="24"/>
        </w:rPr>
        <w:t>and all officers who are “insiders” subject to Section 16 of the Exchange Act</w:t>
      </w:r>
      <w:r>
        <w:t xml:space="preserve"> (collectively, the “</w:t>
      </w:r>
      <w:r>
        <w:rPr>
          <w:u w:val="single"/>
        </w:rPr>
        <w:t>Senior Officers</w:t>
      </w:r>
      <w:r>
        <w:t>”), evaluate the performance of the CEO and other Senior Officers in light of those goals and objectives and, either as a committee or together with the other independent directors (as directed by the Board), determine and approve, or recommend to the Board for approval, the compensation for the CEO and other Senior Officers based on this evaluation, with the deliberations and voting on such compensation to be conducted without the CEO and other Senior Officers, as applicable, present;</w:t>
      </w:r>
    </w:p>
    <w:p w14:paraId="0464FF28" w14:textId="77777777" w:rsidR="005C49B4" w:rsidRDefault="00DB2B86">
      <w:pPr>
        <w:pStyle w:val="RBUBullets"/>
        <w:jc w:val="both"/>
        <w:rPr>
          <w:rStyle w:val="FootnoteReference"/>
          <w:b w:val="0"/>
          <w:color w:val="auto"/>
          <w:sz w:val="24"/>
          <w:szCs w:val="20"/>
          <w:vertAlign w:val="baseline"/>
        </w:rPr>
      </w:pPr>
      <w:r>
        <w:t>Review and make recommendations to the Board about the compensation of the Company’s non-employee directors;</w:t>
      </w:r>
      <w:r>
        <w:rPr>
          <w:rStyle w:val="FootnoteReference"/>
          <w:szCs w:val="24"/>
        </w:rPr>
        <w:t xml:space="preserve"> </w:t>
      </w:r>
    </w:p>
    <w:p w14:paraId="319D438D" w14:textId="47220143" w:rsidR="005C49B4" w:rsidRDefault="00DB2B86">
      <w:pPr>
        <w:pStyle w:val="RBUBullets"/>
        <w:jc w:val="both"/>
      </w:pPr>
      <w:r>
        <w:t>Review and administer the Company’s equity-based compensation plans, management incentive compensation plans and non-qualified deferred compensation plans, approve grants pursuant to, or participation in, such plans and the terms and conditions of any such grants or participation and make recommendations to the Board about amendments to such plans (or approve such amendments, to the extent provided for in such plans) and the adoption of any new equity-based, management incentive and non-qualified deferred compensation plans;</w:t>
      </w:r>
    </w:p>
    <w:p w14:paraId="79353D87" w14:textId="77777777" w:rsidR="005C49B4" w:rsidRDefault="00DB2B86">
      <w:pPr>
        <w:pStyle w:val="RBUBullets"/>
        <w:jc w:val="both"/>
      </w:pPr>
      <w:r>
        <w:t xml:space="preserve">Recommend to the Board any stock ownership guidelines for the CEO and other Senior Officers, other executives and non-employee directors, and periodically assess these guidelines and recommend revisions as </w:t>
      </w:r>
      <w:proofErr w:type="gramStart"/>
      <w:r>
        <w:t>appropriate;</w:t>
      </w:r>
      <w:proofErr w:type="gramEnd"/>
    </w:p>
    <w:p w14:paraId="0A8664EC" w14:textId="3D74AE4C" w:rsidR="005C49B4" w:rsidRDefault="00DB2B86">
      <w:pPr>
        <w:pStyle w:val="RBUBullets"/>
        <w:jc w:val="both"/>
      </w:pPr>
      <w:r>
        <w:t xml:space="preserve">Review and establish the Company’s overall </w:t>
      </w:r>
      <w:r w:rsidR="001D70CD">
        <w:t xml:space="preserve">CEO and Senior Officer </w:t>
      </w:r>
      <w:r>
        <w:t xml:space="preserve">compensation and benefits philosophy and </w:t>
      </w:r>
      <w:proofErr w:type="gramStart"/>
      <w:r>
        <w:t>policies;</w:t>
      </w:r>
      <w:proofErr w:type="gramEnd"/>
      <w:r>
        <w:t xml:space="preserve"> </w:t>
      </w:r>
    </w:p>
    <w:p w14:paraId="36F54AFE" w14:textId="404F67E9" w:rsidR="00205292" w:rsidRDefault="00DB2B86" w:rsidP="00752451">
      <w:pPr>
        <w:pStyle w:val="RBUBullets"/>
        <w:jc w:val="both"/>
      </w:pPr>
      <w:r>
        <w:t xml:space="preserve">Produce a compensation committee report on executive compensation for inclusion in the Company’s annual proxy statement in accordance with Securities and Exchange Commission proxy and disclosure </w:t>
      </w:r>
      <w:proofErr w:type="gramStart"/>
      <w:r>
        <w:t>rules;</w:t>
      </w:r>
      <w:proofErr w:type="gramEnd"/>
    </w:p>
    <w:p w14:paraId="37D67E5B" w14:textId="0D0B15AB" w:rsidR="005C49B4" w:rsidRDefault="00DB2B86">
      <w:pPr>
        <w:pStyle w:val="RBUBullets"/>
        <w:jc w:val="both"/>
      </w:pPr>
      <w:r>
        <w:t xml:space="preserve">Review and approve all employment contracts and other compensation, </w:t>
      </w:r>
      <w:proofErr w:type="gramStart"/>
      <w:r>
        <w:t>severance</w:t>
      </w:r>
      <w:proofErr w:type="gramEnd"/>
      <w:r>
        <w:t xml:space="preserve"> and change-in-control arrangements for the CEO and other Senior </w:t>
      </w:r>
      <w:proofErr w:type="gramStart"/>
      <w:r>
        <w:t>Officers;</w:t>
      </w:r>
      <w:proofErr w:type="gramEnd"/>
    </w:p>
    <w:p w14:paraId="116F6A02" w14:textId="6B19FDFF" w:rsidR="00383B57" w:rsidRDefault="00383B57" w:rsidP="001B1055">
      <w:pPr>
        <w:pStyle w:val="RBUBullets"/>
        <w:jc w:val="both"/>
      </w:pPr>
      <w:r>
        <w:t>Oversee succession planning for Senior Officer</w:t>
      </w:r>
      <w:r w:rsidR="0059755C">
        <w:t xml:space="preserve"> position</w:t>
      </w:r>
      <w:r>
        <w:t xml:space="preserve">s (other than the CEO), </w:t>
      </w:r>
      <w:r w:rsidR="0059755C">
        <w:t xml:space="preserve">including assisting the Board with evaluating potential candidates for Senior Officer Positions, as appropriate, </w:t>
      </w:r>
      <w:r>
        <w:t xml:space="preserve">and </w:t>
      </w:r>
      <w:proofErr w:type="gramStart"/>
      <w:r>
        <w:t>report</w:t>
      </w:r>
      <w:proofErr w:type="gramEnd"/>
      <w:r>
        <w:t xml:space="preserve"> to the Board on succession planning for the Senior Officer</w:t>
      </w:r>
      <w:r w:rsidR="0059755C">
        <w:t xml:space="preserve"> position</w:t>
      </w:r>
      <w:r>
        <w:t>s (other than the CEO).</w:t>
      </w:r>
    </w:p>
    <w:p w14:paraId="4E544F7C" w14:textId="5D580AE0" w:rsidR="000577CF" w:rsidRDefault="000577CF" w:rsidP="00383B57">
      <w:pPr>
        <w:pStyle w:val="RBUBullets"/>
        <w:jc w:val="both"/>
      </w:pPr>
      <w:r w:rsidRPr="000577CF">
        <w:t xml:space="preserve">Review </w:t>
      </w:r>
      <w:r w:rsidR="00383B57" w:rsidRPr="00383B57">
        <w:t>and discuss with management the Company</w:t>
      </w:r>
      <w:r w:rsidR="00383B57">
        <w:t>’</w:t>
      </w:r>
      <w:r w:rsidR="00383B57" w:rsidRPr="00383B57">
        <w:t>s strategies and policies regarding human capital management, which may include, without limitation,</w:t>
      </w:r>
      <w:r w:rsidR="00383B57">
        <w:t xml:space="preserve"> </w:t>
      </w:r>
      <w:r w:rsidR="00383B57" w:rsidRPr="00383B57">
        <w:t>those regarding recruiting, talent development</w:t>
      </w:r>
      <w:r w:rsidR="00383B57">
        <w:t>,</w:t>
      </w:r>
      <w:r w:rsidR="00383B57" w:rsidRPr="00383B57">
        <w:t xml:space="preserve"> </w:t>
      </w:r>
      <w:r w:rsidR="0059755C">
        <w:t xml:space="preserve">engagement, </w:t>
      </w:r>
      <w:proofErr w:type="gramStart"/>
      <w:r w:rsidR="00383B57" w:rsidRPr="00383B57">
        <w:t>retention</w:t>
      </w:r>
      <w:proofErr w:type="gramEnd"/>
      <w:r w:rsidR="00383B57">
        <w:t xml:space="preserve"> and inclusion and </w:t>
      </w:r>
      <w:proofErr w:type="gramStart"/>
      <w:r w:rsidR="00383B57">
        <w:t>belonging;</w:t>
      </w:r>
      <w:proofErr w:type="gramEnd"/>
    </w:p>
    <w:p w14:paraId="3ABA3AA8" w14:textId="3A2ABC63" w:rsidR="005C49B4" w:rsidRDefault="00DB2B86">
      <w:pPr>
        <w:pStyle w:val="RBUBullets"/>
        <w:jc w:val="both"/>
      </w:pPr>
      <w:r>
        <w:lastRenderedPageBreak/>
        <w:t xml:space="preserve">Establish and review periodically policies and procedures with respect to </w:t>
      </w:r>
      <w:r w:rsidR="006316C9">
        <w:t xml:space="preserve">Senior Officer </w:t>
      </w:r>
      <w:proofErr w:type="gramStart"/>
      <w:r>
        <w:t>perquisites;</w:t>
      </w:r>
      <w:proofErr w:type="gramEnd"/>
    </w:p>
    <w:p w14:paraId="38A9544F" w14:textId="7EE86401" w:rsidR="00947C65" w:rsidRDefault="00947C65">
      <w:pPr>
        <w:pStyle w:val="RBUBullets"/>
        <w:jc w:val="both"/>
      </w:pPr>
      <w:r>
        <w:t xml:space="preserve">Review and approve the adoption, </w:t>
      </w:r>
      <w:proofErr w:type="gramStart"/>
      <w:r>
        <w:t>implementation</w:t>
      </w:r>
      <w:proofErr w:type="gramEnd"/>
      <w:r>
        <w:t xml:space="preserve"> and any revision of, and administer and enforce, any policies with respect to the recoupment or “</w:t>
      </w:r>
      <w:proofErr w:type="spellStart"/>
      <w:r>
        <w:t>clawback</w:t>
      </w:r>
      <w:proofErr w:type="spellEnd"/>
      <w:r>
        <w:t xml:space="preserve">” of compensation of Senior Officers and other </w:t>
      </w:r>
      <w:proofErr w:type="gramStart"/>
      <w:r>
        <w:t>employees</w:t>
      </w:r>
      <w:r w:rsidR="00205292">
        <w:t>;</w:t>
      </w:r>
      <w:proofErr w:type="gramEnd"/>
    </w:p>
    <w:p w14:paraId="15691175" w14:textId="214B21EA" w:rsidR="005C49B4" w:rsidRDefault="00DB2B86">
      <w:pPr>
        <w:pStyle w:val="RBUBullets"/>
        <w:numPr>
          <w:ilvl w:val="0"/>
          <w:numId w:val="28"/>
        </w:numPr>
        <w:ind w:left="1440"/>
        <w:jc w:val="both"/>
        <w:rPr>
          <w:color w:val="000000"/>
          <w:szCs w:val="24"/>
        </w:rPr>
      </w:pPr>
      <w:r>
        <w:t xml:space="preserve">Review the Company’s compensation policies, </w:t>
      </w:r>
      <w:proofErr w:type="gramStart"/>
      <w:r>
        <w:t>practices</w:t>
      </w:r>
      <w:proofErr w:type="gramEnd"/>
      <w:r>
        <w:t xml:space="preserve"> and arrangements to determine whether they encourage excessive risk-taking, review and discuss at least annually the relationship between risk management </w:t>
      </w:r>
      <w:proofErr w:type="gramStart"/>
      <w:r>
        <w:t>policies and practices</w:t>
      </w:r>
      <w:proofErr w:type="gramEnd"/>
      <w:r>
        <w:t xml:space="preserve"> and compensation, and evaluate compensation policies and practices that could mitigate any such </w:t>
      </w:r>
      <w:proofErr w:type="gramStart"/>
      <w:r>
        <w:t>risk;</w:t>
      </w:r>
      <w:proofErr w:type="gramEnd"/>
    </w:p>
    <w:p w14:paraId="7ACF617C" w14:textId="34516F7A" w:rsidR="005C49B4" w:rsidRDefault="00DB2B86">
      <w:pPr>
        <w:pStyle w:val="RBUBullets"/>
        <w:jc w:val="both"/>
      </w:pPr>
      <w:r>
        <w:t xml:space="preserve">Review and assess the adequacy of this Charter </w:t>
      </w:r>
      <w:r w:rsidR="00674E1E">
        <w:t xml:space="preserve">on an annual basis </w:t>
      </w:r>
      <w:r>
        <w:t xml:space="preserve">and submit any changes to the Board for </w:t>
      </w:r>
      <w:proofErr w:type="gramStart"/>
      <w:r>
        <w:t>approval;</w:t>
      </w:r>
      <w:proofErr w:type="gramEnd"/>
    </w:p>
    <w:p w14:paraId="00DBC3CB" w14:textId="77777777" w:rsidR="005C49B4" w:rsidRDefault="00DB2B86">
      <w:pPr>
        <w:pStyle w:val="RBUBullets"/>
        <w:jc w:val="both"/>
      </w:pPr>
      <w:r>
        <w:t xml:space="preserve">Review, consider and select, to the extent determined to be advisable, a peer group of appropriate companies for purposes of benchmarking and analysis of compensation for executive officers and </w:t>
      </w:r>
      <w:proofErr w:type="gramStart"/>
      <w:r>
        <w:t>directors;</w:t>
      </w:r>
      <w:proofErr w:type="gramEnd"/>
    </w:p>
    <w:p w14:paraId="09F2EC09" w14:textId="08AA2986" w:rsidR="005C49B4" w:rsidRDefault="00DB2B86">
      <w:pPr>
        <w:pStyle w:val="RBUBullets"/>
        <w:jc w:val="both"/>
      </w:pPr>
      <w:r>
        <w:t xml:space="preserve">Monitor the Company’s compliance with the requirements under the Sarbanes-Oxley Act of 2002 relating to loans to directors and officers, and with all other applicable laws affecting </w:t>
      </w:r>
      <w:r w:rsidR="006316C9">
        <w:t xml:space="preserve">executive </w:t>
      </w:r>
      <w:r>
        <w:t xml:space="preserve">compensation and </w:t>
      </w:r>
      <w:proofErr w:type="gramStart"/>
      <w:r>
        <w:t>benefits;</w:t>
      </w:r>
      <w:proofErr w:type="gramEnd"/>
    </w:p>
    <w:p w14:paraId="4755CBF8" w14:textId="77777777" w:rsidR="005C49B4" w:rsidRDefault="00DB2B86">
      <w:pPr>
        <w:pStyle w:val="RBUBullets"/>
        <w:jc w:val="both"/>
      </w:pPr>
      <w:r>
        <w:t>Maintain minutes of Committee meetings and report its actions and any recommendations to the Board on a periodic basis; and</w:t>
      </w:r>
    </w:p>
    <w:p w14:paraId="417EBF00" w14:textId="77777777" w:rsidR="005C49B4" w:rsidRDefault="00DB2B86" w:rsidP="00BF780D">
      <w:pPr>
        <w:numPr>
          <w:ilvl w:val="0"/>
          <w:numId w:val="24"/>
        </w:numPr>
        <w:spacing w:after="240"/>
        <w:jc w:val="both"/>
      </w:pPr>
      <w:r>
        <w:t xml:space="preserve">Annually perform, or participate in, an evaluation of the performance of the Committee against the requirements of this Charter, the results of which shall </w:t>
      </w:r>
      <w:proofErr w:type="gramStart"/>
      <w:r>
        <w:t>be presented</w:t>
      </w:r>
      <w:proofErr w:type="gramEnd"/>
      <w:r>
        <w:t xml:space="preserve"> to the Board. </w:t>
      </w:r>
    </w:p>
    <w:p w14:paraId="36723353" w14:textId="3AD385D3" w:rsidR="005C49B4" w:rsidRDefault="00DB2B86">
      <w:pPr>
        <w:pStyle w:val="Heading1"/>
        <w:ind w:firstLine="720"/>
        <w:jc w:val="both"/>
      </w:pPr>
      <w:r>
        <w:t>5.</w:t>
      </w:r>
      <w:r>
        <w:tab/>
      </w:r>
      <w:r>
        <w:rPr>
          <w:u w:val="single"/>
        </w:rPr>
        <w:t>Actions of the Committee</w:t>
      </w:r>
      <w:proofErr w:type="gramStart"/>
      <w:r>
        <w:t xml:space="preserve">. </w:t>
      </w:r>
      <w:r w:rsidR="001412AA">
        <w:t xml:space="preserve"> </w:t>
      </w:r>
      <w:r>
        <w:t>In order to</w:t>
      </w:r>
      <w:proofErr w:type="gramEnd"/>
      <w:r>
        <w:t xml:space="preserve"> fulfill its role, the Committee shall </w:t>
      </w:r>
      <w:proofErr w:type="gramStart"/>
      <w:r>
        <w:t>be entitled</w:t>
      </w:r>
      <w:proofErr w:type="gramEnd"/>
      <w:r>
        <w:t xml:space="preserve"> to act in the following manner, to the fullest extent permitted under the Delaware General Corporation Law and in each case in accordance with the Company’s Certificate of Incorporation and Bylaws:</w:t>
      </w:r>
    </w:p>
    <w:p w14:paraId="5627C633" w14:textId="77777777" w:rsidR="005C49B4" w:rsidRDefault="00DB2B86">
      <w:pPr>
        <w:pStyle w:val="RBUBullets"/>
        <w:jc w:val="both"/>
      </w:pPr>
      <w:proofErr w:type="gramStart"/>
      <w:r>
        <w:t>Action may be taken by the Committee</w:t>
      </w:r>
      <w:proofErr w:type="gramEnd"/>
      <w:r>
        <w:t xml:space="preserve"> upon the affirmative vote of a majority of the members.</w:t>
      </w:r>
    </w:p>
    <w:p w14:paraId="4EEB8491" w14:textId="332E7190" w:rsidR="005C49B4" w:rsidRDefault="00DB2B86">
      <w:pPr>
        <w:pStyle w:val="RBUBullets"/>
        <w:jc w:val="both"/>
      </w:pPr>
      <w:proofErr w:type="gramStart"/>
      <w:r>
        <w:t>Any two</w:t>
      </w:r>
      <w:proofErr w:type="gramEnd"/>
      <w:r>
        <w:t xml:space="preserve"> members or the Chair</w:t>
      </w:r>
      <w:r w:rsidR="000774D9">
        <w:t>person</w:t>
      </w:r>
      <w:r>
        <w:t xml:space="preserve"> of the Committee may call a meeting of the Committee upon due notice to each </w:t>
      </w:r>
      <w:proofErr w:type="gramStart"/>
      <w:r>
        <w:t>other member</w:t>
      </w:r>
      <w:proofErr w:type="gramEnd"/>
      <w:r>
        <w:t xml:space="preserve"> at least 48 hours prior to the meeting.</w:t>
      </w:r>
    </w:p>
    <w:p w14:paraId="3C499A0C" w14:textId="77777777" w:rsidR="005C49B4" w:rsidRDefault="00DB2B86">
      <w:pPr>
        <w:pStyle w:val="RBUBullets"/>
        <w:jc w:val="both"/>
      </w:pPr>
      <w:r>
        <w:t>A majority of Committee members shall constitute a quorum</w:t>
      </w:r>
      <w:proofErr w:type="gramStart"/>
      <w:r>
        <w:t xml:space="preserve">.  </w:t>
      </w:r>
      <w:proofErr w:type="gramEnd"/>
      <w:r>
        <w:t xml:space="preserve">The Board may designate one or more directors as alternate members of the Committee, who may replace any absent or disqualified member at any meeting of the Committee provided that such alternate members satisfy all applicable criteria for membership </w:t>
      </w:r>
      <w:proofErr w:type="gramStart"/>
      <w:r>
        <w:t>on</w:t>
      </w:r>
      <w:proofErr w:type="gramEnd"/>
      <w:r>
        <w:t xml:space="preserve"> the Committee</w:t>
      </w:r>
      <w:proofErr w:type="gramStart"/>
      <w:r>
        <w:t xml:space="preserve">.  </w:t>
      </w:r>
      <w:proofErr w:type="gramEnd"/>
      <w:r>
        <w:t xml:space="preserve">In the absence or upon the disqualification of a member of the Committee, and in the absence of a designation by the Board of an alternate member to replace the absent or disqualified member, the member or members present at any meeting and not disqualified from voting, whether or not he, she or they </w:t>
      </w:r>
      <w:r>
        <w:lastRenderedPageBreak/>
        <w:t>constitute a quorum, may unanimously appoint another member of the Board to act at the meeting in the place of any absent or disqualified member, provided that such other member satisfies all applicable criteria for membership on the Committee.</w:t>
      </w:r>
    </w:p>
    <w:p w14:paraId="6EA7A35C" w14:textId="77777777" w:rsidR="005C49B4" w:rsidRDefault="00DB2B86">
      <w:pPr>
        <w:pStyle w:val="RBUBullets"/>
        <w:jc w:val="both"/>
      </w:pPr>
      <w:r>
        <w:t xml:space="preserve">No action of the Committee shall be void or deemed to be without authority solely because of </w:t>
      </w:r>
      <w:proofErr w:type="gramStart"/>
      <w:r>
        <w:t>a failure</w:t>
      </w:r>
      <w:proofErr w:type="gramEnd"/>
      <w:r>
        <w:t xml:space="preserve"> of any member to meet the qualification requirements set forth in this Charter.</w:t>
      </w:r>
    </w:p>
    <w:p w14:paraId="3032FAEE" w14:textId="77777777" w:rsidR="005C49B4" w:rsidRDefault="00DB2B86">
      <w:pPr>
        <w:pStyle w:val="RBUBullets"/>
        <w:jc w:val="both"/>
      </w:pPr>
      <w:proofErr w:type="gramStart"/>
      <w:r>
        <w:t>Action may be taken by the Committee</w:t>
      </w:r>
      <w:proofErr w:type="gramEnd"/>
      <w:r>
        <w:t xml:space="preserve"> without a meeting if </w:t>
      </w:r>
      <w:proofErr w:type="gramStart"/>
      <w:r>
        <w:t>all of</w:t>
      </w:r>
      <w:proofErr w:type="gramEnd"/>
      <w:r>
        <w:t xml:space="preserve"> the members of the Committee indicate their approval thereof in writing or by electronic transmission.</w:t>
      </w:r>
    </w:p>
    <w:p w14:paraId="2ED155B4" w14:textId="77777777" w:rsidR="005C49B4" w:rsidRDefault="00DB2B86" w:rsidP="00BF780D">
      <w:pPr>
        <w:pStyle w:val="RBUBullets"/>
        <w:spacing w:after="240"/>
        <w:jc w:val="both"/>
      </w:pPr>
      <w:r>
        <w:t>The Committee shall have the authority to delegate to subcommittees, comprised of one or more members of the Committee, any of the responsibilities of the full Committee and to officers and other employees of the Company such responsibilities of the full Committee as may be permitted by applicable laws, rules or regulations and in accordance with NYSE rules.</w:t>
      </w:r>
    </w:p>
    <w:p w14:paraId="0DD043BA" w14:textId="3139E320" w:rsidR="0007345D" w:rsidRDefault="00DB2B86" w:rsidP="0007345D">
      <w:pPr>
        <w:pStyle w:val="Heading1"/>
        <w:ind w:firstLine="720"/>
        <w:jc w:val="both"/>
      </w:pPr>
      <w:r>
        <w:t>6.</w:t>
      </w:r>
      <w:r>
        <w:tab/>
      </w:r>
      <w:r>
        <w:rPr>
          <w:u w:val="single"/>
        </w:rPr>
        <w:t>Authority and Resources of the Committee</w:t>
      </w:r>
      <w:proofErr w:type="gramStart"/>
      <w:r>
        <w:t xml:space="preserve">.  </w:t>
      </w:r>
      <w:proofErr w:type="gramEnd"/>
      <w:r>
        <w:t xml:space="preserve">The Committee has the authority, in its sole discretion, to appoint, retain or obtain the advice of a compensation consultant, legal counsel or other adviser, which includes the sole authority and direct responsibility to approve such compensation consultant’s or other adviser’s fees and other retention terms, to oversee the work of and to terminate such compensation consultant or other adviser, and the authority and responsibility to pay from funds of the Company reasonable compensation to such compensation consultant or other adviser retained by the Committee. </w:t>
      </w:r>
      <w:r w:rsidR="001412AA">
        <w:t xml:space="preserve"> </w:t>
      </w:r>
      <w:r>
        <w:t xml:space="preserve">Such funding will </w:t>
      </w:r>
      <w:proofErr w:type="gramStart"/>
      <w:r>
        <w:t>be provided</w:t>
      </w:r>
      <w:proofErr w:type="gramEnd"/>
      <w:r>
        <w:t xml:space="preserve"> by the Company and determined by the Committee</w:t>
      </w:r>
      <w:proofErr w:type="gramStart"/>
      <w:r>
        <w:t xml:space="preserve">.  </w:t>
      </w:r>
      <w:proofErr w:type="gramEnd"/>
      <w:r>
        <w:t>Before selecting or obtaining the advice of a compensation consultant, legal counsel or other adviser (other than in-house legal counsel), the Committee shall consider all factors relevant to the independence of such consultant, counsel or adviser from management, including the factors set forth in NYSE rules then in effect and any other applicable laws, rules or regulations.</w:t>
      </w:r>
    </w:p>
    <w:sectPr w:rsidR="0007345D" w:rsidSect="004B166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QAA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0160" w14:textId="77777777" w:rsidR="00912AB5" w:rsidRDefault="00912AB5">
      <w:r>
        <w:separator/>
      </w:r>
    </w:p>
  </w:endnote>
  <w:endnote w:type="continuationSeparator" w:id="0">
    <w:p w14:paraId="362ADB8B" w14:textId="77777777" w:rsidR="00912AB5" w:rsidRDefault="0091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AC9D" w14:textId="7918E50D" w:rsidR="005C49B4" w:rsidRDefault="001B1055">
    <w:pPr>
      <w:pStyle w:val="DocID"/>
    </w:pPr>
    <w:fldSimple w:instr=" DOCPROPERTY DOCXDOCID DMS=InterwovenIManage Format=&lt;&lt;NUM&gt;&gt;_&lt;&lt;VER&gt;&gt; PRESERVELOCATION \* MERGEFORMAT ">
      <w:r w:rsidR="00FD5E5F">
        <w:t>146422449_1</w:t>
      </w:r>
    </w:fldSimple>
  </w:p>
  <w:p w14:paraId="2B4854B3" w14:textId="77777777" w:rsidR="00D92167" w:rsidRDefault="00D921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5A6E" w14:textId="77777777" w:rsidR="005C49B4" w:rsidRDefault="00DB2B86">
    <w:pPr>
      <w:pStyle w:val="Footer"/>
      <w:rPr>
        <w:szCs w:val="24"/>
      </w:rPr>
    </w:pPr>
    <w:r>
      <w:rPr>
        <w:sz w:val="16"/>
      </w:rPr>
      <w:tab/>
    </w:r>
    <w:r>
      <w:rPr>
        <w:szCs w:val="24"/>
      </w:rPr>
      <w:t xml:space="preserve">- </w:t>
    </w:r>
    <w:r>
      <w:rPr>
        <w:szCs w:val="24"/>
      </w:rPr>
      <w:fldChar w:fldCharType="begin"/>
    </w:r>
    <w:r>
      <w:rPr>
        <w:szCs w:val="24"/>
      </w:rPr>
      <w:instrText xml:space="preserve"> PAGE </w:instrText>
    </w:r>
    <w:r>
      <w:rPr>
        <w:szCs w:val="24"/>
      </w:rPr>
      <w:fldChar w:fldCharType="separate"/>
    </w:r>
    <w:r w:rsidR="00E01C61">
      <w:rPr>
        <w:noProof/>
        <w:szCs w:val="24"/>
      </w:rPr>
      <w:t>4</w:t>
    </w:r>
    <w:r>
      <w:rPr>
        <w:szCs w:val="24"/>
      </w:rPr>
      <w:fldChar w:fldCharType="end"/>
    </w:r>
    <w:r>
      <w:rPr>
        <w:szCs w:val="24"/>
      </w:rPr>
      <w:t xml:space="preserve"> -</w:t>
    </w:r>
  </w:p>
  <w:p w14:paraId="7E75F25E" w14:textId="781E6D28" w:rsidR="005C49B4" w:rsidRDefault="001B1055">
    <w:pPr>
      <w:pStyle w:val="DocID"/>
    </w:pPr>
    <w:fldSimple w:instr=" DOCPROPERTY DOCXDOCID DMS=InterwovenIManage Format=&lt;&lt;NUM&gt;&gt;_&lt;&lt;VER&gt;&gt; PRESERVELOCATION \* MERGEFORMAT ">
      <w:r w:rsidR="00FD5E5F">
        <w:t>146422449_1</w:t>
      </w:r>
    </w:fldSimple>
  </w:p>
  <w:p w14:paraId="7601A960" w14:textId="77777777" w:rsidR="00D92167" w:rsidRDefault="00D921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B919" w14:textId="582926C5" w:rsidR="005C49B4" w:rsidRDefault="001B1055">
    <w:pPr>
      <w:pStyle w:val="DocID"/>
    </w:pPr>
    <w:fldSimple w:instr=" DOCPROPERTY DOCXDOCID DMS=InterwovenIManage Format=&lt;&lt;NUM&gt;&gt;_&lt;&lt;VER&gt;&gt; PRESERVELOCATION \* MERGEFORMAT ">
      <w:r w:rsidR="00FD5E5F">
        <w:t>146422449_1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6C24" w14:textId="77777777" w:rsidR="00912AB5" w:rsidRDefault="00912AB5">
      <w:r>
        <w:separator/>
      </w:r>
    </w:p>
  </w:footnote>
  <w:footnote w:type="continuationSeparator" w:id="0">
    <w:p w14:paraId="63D253B0" w14:textId="77777777" w:rsidR="00912AB5" w:rsidRDefault="0091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44F6" w14:textId="77777777" w:rsidR="004A3630" w:rsidRDefault="004A3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F900" w14:textId="77777777" w:rsidR="004A3630" w:rsidRDefault="004A3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46FC" w14:textId="75715E84" w:rsidR="001A5611" w:rsidRPr="001A5611" w:rsidRDefault="001A5611" w:rsidP="001A5611">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69FE"/>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F019BC"/>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CAFD30"/>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7E66D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FAFF08"/>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281B5C"/>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D8196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527136"/>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389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1252174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C41B4D"/>
    <w:multiLevelType w:val="hybridMultilevel"/>
    <w:tmpl w:val="B5B0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F1E04"/>
    <w:multiLevelType w:val="hybridMultilevel"/>
    <w:tmpl w:val="5CA0F224"/>
    <w:name w:val="List Bullet"/>
    <w:lvl w:ilvl="0" w:tplc="B5D09D4A">
      <w:start w:val="1"/>
      <w:numFmt w:val="bullet"/>
      <w:pStyle w:val="ListBullet"/>
      <w:lvlText w:val=""/>
      <w:lvlJc w:val="left"/>
      <w:pPr>
        <w:tabs>
          <w:tab w:val="num" w:pos="360"/>
        </w:tabs>
        <w:ind w:left="360" w:hanging="360"/>
      </w:pPr>
      <w:rPr>
        <w:rFonts w:ascii="Symbol" w:hAnsi="Symbol" w:hint="default"/>
        <w:color w:val="auto"/>
      </w:rPr>
    </w:lvl>
    <w:lvl w:ilvl="1" w:tplc="8D1A9008" w:tentative="1">
      <w:start w:val="1"/>
      <w:numFmt w:val="bullet"/>
      <w:lvlText w:val="o"/>
      <w:lvlJc w:val="left"/>
      <w:pPr>
        <w:tabs>
          <w:tab w:val="num" w:pos="1440"/>
        </w:tabs>
        <w:ind w:left="1440" w:hanging="360"/>
      </w:pPr>
      <w:rPr>
        <w:rFonts w:ascii="Courier New" w:hAnsi="Courier New" w:cs="Courier New" w:hint="default"/>
      </w:rPr>
    </w:lvl>
    <w:lvl w:ilvl="2" w:tplc="0F86D5D0" w:tentative="1">
      <w:start w:val="1"/>
      <w:numFmt w:val="bullet"/>
      <w:lvlText w:val=""/>
      <w:lvlJc w:val="left"/>
      <w:pPr>
        <w:tabs>
          <w:tab w:val="num" w:pos="2160"/>
        </w:tabs>
        <w:ind w:left="2160" w:hanging="360"/>
      </w:pPr>
      <w:rPr>
        <w:rFonts w:ascii="Wingdings" w:hAnsi="Wingdings" w:hint="default"/>
      </w:rPr>
    </w:lvl>
    <w:lvl w:ilvl="3" w:tplc="07B655B2" w:tentative="1">
      <w:start w:val="1"/>
      <w:numFmt w:val="bullet"/>
      <w:lvlText w:val=""/>
      <w:lvlJc w:val="left"/>
      <w:pPr>
        <w:tabs>
          <w:tab w:val="num" w:pos="2880"/>
        </w:tabs>
        <w:ind w:left="2880" w:hanging="360"/>
      </w:pPr>
      <w:rPr>
        <w:rFonts w:ascii="Symbol" w:hAnsi="Symbol" w:hint="default"/>
      </w:rPr>
    </w:lvl>
    <w:lvl w:ilvl="4" w:tplc="FD623D76" w:tentative="1">
      <w:start w:val="1"/>
      <w:numFmt w:val="bullet"/>
      <w:lvlText w:val="o"/>
      <w:lvlJc w:val="left"/>
      <w:pPr>
        <w:tabs>
          <w:tab w:val="num" w:pos="3600"/>
        </w:tabs>
        <w:ind w:left="3600" w:hanging="360"/>
      </w:pPr>
      <w:rPr>
        <w:rFonts w:ascii="Courier New" w:hAnsi="Courier New" w:cs="Courier New" w:hint="default"/>
      </w:rPr>
    </w:lvl>
    <w:lvl w:ilvl="5" w:tplc="2384C3D8" w:tentative="1">
      <w:start w:val="1"/>
      <w:numFmt w:val="bullet"/>
      <w:lvlText w:val=""/>
      <w:lvlJc w:val="left"/>
      <w:pPr>
        <w:tabs>
          <w:tab w:val="num" w:pos="4320"/>
        </w:tabs>
        <w:ind w:left="4320" w:hanging="360"/>
      </w:pPr>
      <w:rPr>
        <w:rFonts w:ascii="Wingdings" w:hAnsi="Wingdings" w:hint="default"/>
      </w:rPr>
    </w:lvl>
    <w:lvl w:ilvl="6" w:tplc="B72227BA" w:tentative="1">
      <w:start w:val="1"/>
      <w:numFmt w:val="bullet"/>
      <w:lvlText w:val=""/>
      <w:lvlJc w:val="left"/>
      <w:pPr>
        <w:tabs>
          <w:tab w:val="num" w:pos="5040"/>
        </w:tabs>
        <w:ind w:left="5040" w:hanging="360"/>
      </w:pPr>
      <w:rPr>
        <w:rFonts w:ascii="Symbol" w:hAnsi="Symbol" w:hint="default"/>
      </w:rPr>
    </w:lvl>
    <w:lvl w:ilvl="7" w:tplc="608AF8D0" w:tentative="1">
      <w:start w:val="1"/>
      <w:numFmt w:val="bullet"/>
      <w:lvlText w:val="o"/>
      <w:lvlJc w:val="left"/>
      <w:pPr>
        <w:tabs>
          <w:tab w:val="num" w:pos="5760"/>
        </w:tabs>
        <w:ind w:left="5760" w:hanging="360"/>
      </w:pPr>
      <w:rPr>
        <w:rFonts w:ascii="Courier New" w:hAnsi="Courier New" w:cs="Courier New" w:hint="default"/>
      </w:rPr>
    </w:lvl>
    <w:lvl w:ilvl="8" w:tplc="F4085C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2763E"/>
    <w:multiLevelType w:val="hybridMultilevel"/>
    <w:tmpl w:val="FAAE8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36807E8"/>
    <w:multiLevelType w:val="hybridMultilevel"/>
    <w:tmpl w:val="B4720E26"/>
    <w:lvl w:ilvl="0" w:tplc="04090001">
      <w:start w:val="1"/>
      <w:numFmt w:val="bullet"/>
      <w:lvlText w:val=""/>
      <w:lvlJc w:val="left"/>
      <w:pPr>
        <w:ind w:left="1800" w:hanging="360"/>
      </w:pPr>
      <w:rPr>
        <w:rFonts w:ascii="Symbol" w:hAnsi="Symbol" w:hint="default"/>
      </w:rPr>
    </w:lvl>
    <w:lvl w:ilvl="1" w:tplc="669E214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324FF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26587"/>
    <w:multiLevelType w:val="multilevel"/>
    <w:tmpl w:val="F47AA1A6"/>
    <w:lvl w:ilvl="0">
      <w:start w:val="1"/>
      <w:numFmt w:val="upperRoman"/>
      <w:lvlText w:val="%1."/>
      <w:lvlJc w:val="left"/>
      <w:pPr>
        <w:tabs>
          <w:tab w:val="num" w:pos="0"/>
        </w:tabs>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0"/>
        </w:tabs>
        <w:ind w:left="720" w:hanging="432"/>
      </w:pPr>
      <w:rPr>
        <w:rFonts w:ascii="Symbol" w:hAnsi="Symbol"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0"/>
        </w:tabs>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144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36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7892F4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94376F6"/>
    <w:multiLevelType w:val="multilevel"/>
    <w:tmpl w:val="C578284A"/>
    <w:lvl w:ilvl="0">
      <w:start w:val="1"/>
      <w:numFmt w:val="bullet"/>
      <w:pStyle w:val="RBU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360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96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4320" w:hanging="360"/>
      </w:pPr>
      <w:rPr>
        <w:rFonts w:ascii="Symbol" w:hAnsi="Symbol" w:hint="default"/>
        <w:b w:val="0"/>
        <w:i w:val="0"/>
        <w:caps w:val="0"/>
        <w:strike w:val="0"/>
        <w:dstrike w:val="0"/>
        <w:vanish w:val="0"/>
        <w:color w:val="auto"/>
        <w:sz w:val="24"/>
        <w:u w:val="none"/>
        <w:vertAlign w:val="baseline"/>
      </w:rPr>
    </w:lvl>
  </w:abstractNum>
  <w:abstractNum w:abstractNumId="18" w15:restartNumberingAfterBreak="0">
    <w:nsid w:val="76706E1D"/>
    <w:multiLevelType w:val="hybridMultilevel"/>
    <w:tmpl w:val="150AA1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D5B7253"/>
    <w:multiLevelType w:val="multilevel"/>
    <w:tmpl w:val="6BE83262"/>
    <w:lvl w:ilvl="0">
      <w:start w:val="1"/>
      <w:numFmt w:val="bullet"/>
      <w:lvlText w:val=""/>
      <w:lvlJc w:val="left"/>
      <w:pPr>
        <w:ind w:left="0" w:firstLine="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6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94897084">
    <w:abstractNumId w:val="14"/>
  </w:num>
  <w:num w:numId="2" w16cid:durableId="1834683937">
    <w:abstractNumId w:val="9"/>
  </w:num>
  <w:num w:numId="3" w16cid:durableId="1040982663">
    <w:abstractNumId w:val="16"/>
  </w:num>
  <w:num w:numId="4" w16cid:durableId="1963149922">
    <w:abstractNumId w:val="15"/>
  </w:num>
  <w:num w:numId="5" w16cid:durableId="938299561">
    <w:abstractNumId w:val="7"/>
  </w:num>
  <w:num w:numId="6" w16cid:durableId="1563105135">
    <w:abstractNumId w:val="6"/>
  </w:num>
  <w:num w:numId="7" w16cid:durableId="433138778">
    <w:abstractNumId w:val="5"/>
  </w:num>
  <w:num w:numId="8" w16cid:durableId="444010260">
    <w:abstractNumId w:val="4"/>
  </w:num>
  <w:num w:numId="9" w16cid:durableId="977341806">
    <w:abstractNumId w:val="8"/>
  </w:num>
  <w:num w:numId="10" w16cid:durableId="1921405373">
    <w:abstractNumId w:val="3"/>
  </w:num>
  <w:num w:numId="11" w16cid:durableId="896664075">
    <w:abstractNumId w:val="2"/>
  </w:num>
  <w:num w:numId="12" w16cid:durableId="1574973547">
    <w:abstractNumId w:val="1"/>
  </w:num>
  <w:num w:numId="13" w16cid:durableId="1833522868">
    <w:abstractNumId w:val="0"/>
  </w:num>
  <w:num w:numId="14" w16cid:durableId="2013145226">
    <w:abstractNumId w:val="11"/>
  </w:num>
  <w:num w:numId="15" w16cid:durableId="1747722013">
    <w:abstractNumId w:val="19"/>
  </w:num>
  <w:num w:numId="16" w16cid:durableId="130100905">
    <w:abstractNumId w:val="17"/>
  </w:num>
  <w:num w:numId="17" w16cid:durableId="1956448321">
    <w:abstractNumId w:val="17"/>
  </w:num>
  <w:num w:numId="18" w16cid:durableId="1193809531">
    <w:abstractNumId w:val="17"/>
  </w:num>
  <w:num w:numId="19" w16cid:durableId="1047413209">
    <w:abstractNumId w:val="17"/>
  </w:num>
  <w:num w:numId="20" w16cid:durableId="1941835311">
    <w:abstractNumId w:val="17"/>
  </w:num>
  <w:num w:numId="21" w16cid:durableId="1355033742">
    <w:abstractNumId w:val="17"/>
  </w:num>
  <w:num w:numId="22" w16cid:durableId="85618426">
    <w:abstractNumId w:val="17"/>
  </w:num>
  <w:num w:numId="23" w16cid:durableId="1615096454">
    <w:abstractNumId w:val="17"/>
  </w:num>
  <w:num w:numId="24" w16cid:durableId="1240403758">
    <w:abstractNumId w:val="17"/>
  </w:num>
  <w:num w:numId="25" w16cid:durableId="571352946">
    <w:abstractNumId w:val="17"/>
  </w:num>
  <w:num w:numId="26" w16cid:durableId="492529269">
    <w:abstractNumId w:val="17"/>
  </w:num>
  <w:num w:numId="27" w16cid:durableId="286283429">
    <w:abstractNumId w:val="10"/>
  </w:num>
  <w:num w:numId="28" w16cid:durableId="347561087">
    <w:abstractNumId w:val="13"/>
  </w:num>
  <w:num w:numId="29" w16cid:durableId="1785029750">
    <w:abstractNumId w:val="12"/>
  </w:num>
  <w:num w:numId="30" w16cid:durableId="577249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5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 w:val="False"/>
  </w:docVars>
  <w:rsids>
    <w:rsidRoot w:val="005C49B4"/>
    <w:rsid w:val="00026B3B"/>
    <w:rsid w:val="000577CF"/>
    <w:rsid w:val="0007345D"/>
    <w:rsid w:val="000774D9"/>
    <w:rsid w:val="001412AA"/>
    <w:rsid w:val="001761EB"/>
    <w:rsid w:val="001A5611"/>
    <w:rsid w:val="001B1055"/>
    <w:rsid w:val="001D70CD"/>
    <w:rsid w:val="00205292"/>
    <w:rsid w:val="002371F2"/>
    <w:rsid w:val="002702FF"/>
    <w:rsid w:val="002D100A"/>
    <w:rsid w:val="002D7296"/>
    <w:rsid w:val="00383B57"/>
    <w:rsid w:val="00384E33"/>
    <w:rsid w:val="00433A71"/>
    <w:rsid w:val="00495967"/>
    <w:rsid w:val="004A3630"/>
    <w:rsid w:val="004B1666"/>
    <w:rsid w:val="004B6008"/>
    <w:rsid w:val="004C03ED"/>
    <w:rsid w:val="004C356C"/>
    <w:rsid w:val="004C7754"/>
    <w:rsid w:val="005456AF"/>
    <w:rsid w:val="00547DCE"/>
    <w:rsid w:val="00581E75"/>
    <w:rsid w:val="00587234"/>
    <w:rsid w:val="0059755C"/>
    <w:rsid w:val="005B116B"/>
    <w:rsid w:val="005C49B4"/>
    <w:rsid w:val="005E2D36"/>
    <w:rsid w:val="006045F6"/>
    <w:rsid w:val="006316C9"/>
    <w:rsid w:val="00632E33"/>
    <w:rsid w:val="00633BF9"/>
    <w:rsid w:val="00674E1E"/>
    <w:rsid w:val="00677E6E"/>
    <w:rsid w:val="007024D7"/>
    <w:rsid w:val="00734389"/>
    <w:rsid w:val="00752451"/>
    <w:rsid w:val="007806D6"/>
    <w:rsid w:val="0080100D"/>
    <w:rsid w:val="008B5368"/>
    <w:rsid w:val="00902174"/>
    <w:rsid w:val="00912AB5"/>
    <w:rsid w:val="00941E3C"/>
    <w:rsid w:val="00947C65"/>
    <w:rsid w:val="009B4EF9"/>
    <w:rsid w:val="00A60B46"/>
    <w:rsid w:val="00A65FB2"/>
    <w:rsid w:val="00A74357"/>
    <w:rsid w:val="00AB1BE7"/>
    <w:rsid w:val="00AD627A"/>
    <w:rsid w:val="00AE174D"/>
    <w:rsid w:val="00B442AA"/>
    <w:rsid w:val="00BB1E12"/>
    <w:rsid w:val="00BE6F44"/>
    <w:rsid w:val="00BF780D"/>
    <w:rsid w:val="00C179A9"/>
    <w:rsid w:val="00C92A89"/>
    <w:rsid w:val="00CC1FB5"/>
    <w:rsid w:val="00D04A85"/>
    <w:rsid w:val="00D103EC"/>
    <w:rsid w:val="00D10627"/>
    <w:rsid w:val="00D36CA2"/>
    <w:rsid w:val="00D90ADA"/>
    <w:rsid w:val="00D920D1"/>
    <w:rsid w:val="00D92167"/>
    <w:rsid w:val="00DA277D"/>
    <w:rsid w:val="00DB2B86"/>
    <w:rsid w:val="00DC3827"/>
    <w:rsid w:val="00DE752D"/>
    <w:rsid w:val="00DF36A6"/>
    <w:rsid w:val="00E01C61"/>
    <w:rsid w:val="00E05230"/>
    <w:rsid w:val="00E322E5"/>
    <w:rsid w:val="00EA3680"/>
    <w:rsid w:val="00F00BA5"/>
    <w:rsid w:val="00F02D4F"/>
    <w:rsid w:val="00F37078"/>
    <w:rsid w:val="00F66198"/>
    <w:rsid w:val="00F81360"/>
    <w:rsid w:val="00FA0F29"/>
    <w:rsid w:val="00FD5E5F"/>
    <w:rsid w:val="00FD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02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pPr>
      <w:spacing w:after="240"/>
      <w:outlineLvl w:val="0"/>
    </w:pPr>
    <w:rPr>
      <w:snapToGrid w:val="0"/>
      <w:kern w:val="32"/>
    </w:rPr>
  </w:style>
  <w:style w:type="paragraph" w:styleId="Heading2">
    <w:name w:val="heading 2"/>
    <w:basedOn w:val="Normal"/>
    <w:link w:val="Heading2Char"/>
    <w:qFormat/>
    <w:pPr>
      <w:spacing w:after="240"/>
      <w:outlineLvl w:val="1"/>
    </w:pPr>
    <w:rPr>
      <w:snapToGrid w:val="0"/>
    </w:rPr>
  </w:style>
  <w:style w:type="paragraph" w:styleId="Heading3">
    <w:name w:val="heading 3"/>
    <w:basedOn w:val="Normal"/>
    <w:qFormat/>
    <w:pPr>
      <w:tabs>
        <w:tab w:val="left" w:pos="2020"/>
      </w:tabs>
      <w:spacing w:after="240"/>
      <w:outlineLvl w:val="2"/>
    </w:pPr>
    <w:rPr>
      <w:snapToGrid w:val="0"/>
    </w:rPr>
  </w:style>
  <w:style w:type="paragraph" w:styleId="Heading4">
    <w:name w:val="heading 4"/>
    <w:basedOn w:val="Normal"/>
    <w:qFormat/>
    <w:pPr>
      <w:tabs>
        <w:tab w:val="left" w:pos="2020"/>
      </w:tabs>
      <w:spacing w:after="240"/>
      <w:outlineLvl w:val="3"/>
    </w:pPr>
    <w:rPr>
      <w:snapToGrid w:val="0"/>
    </w:rPr>
  </w:style>
  <w:style w:type="paragraph" w:styleId="Heading5">
    <w:name w:val="heading 5"/>
    <w:basedOn w:val="Normal"/>
    <w:qFormat/>
    <w:pPr>
      <w:tabs>
        <w:tab w:val="left" w:pos="2380"/>
      </w:tabs>
      <w:spacing w:after="240"/>
      <w:outlineLvl w:val="4"/>
    </w:pPr>
    <w:rPr>
      <w:snapToGrid w:val="0"/>
    </w:rPr>
  </w:style>
  <w:style w:type="paragraph" w:styleId="Heading6">
    <w:name w:val="heading 6"/>
    <w:basedOn w:val="Normal"/>
    <w:qFormat/>
    <w:pPr>
      <w:tabs>
        <w:tab w:val="left" w:pos="1300"/>
      </w:tabs>
      <w:spacing w:after="240"/>
      <w:outlineLvl w:val="5"/>
    </w:pPr>
    <w:rPr>
      <w:snapToGrid w:val="0"/>
    </w:rPr>
  </w:style>
  <w:style w:type="paragraph" w:styleId="Heading7">
    <w:name w:val="heading 7"/>
    <w:basedOn w:val="Normal"/>
    <w:qFormat/>
    <w:pPr>
      <w:tabs>
        <w:tab w:val="left" w:pos="1660"/>
      </w:tabs>
      <w:spacing w:after="240"/>
      <w:outlineLvl w:val="6"/>
    </w:pPr>
    <w:rPr>
      <w:snapToGrid w:val="0"/>
    </w:rPr>
  </w:style>
  <w:style w:type="paragraph" w:styleId="Heading8">
    <w:name w:val="heading 8"/>
    <w:basedOn w:val="Normal"/>
    <w:qFormat/>
    <w:pPr>
      <w:tabs>
        <w:tab w:val="left" w:pos="1660"/>
      </w:tabs>
      <w:spacing w:after="240"/>
      <w:outlineLvl w:val="7"/>
    </w:pPr>
    <w:rPr>
      <w:snapToGrid w:val="0"/>
    </w:rPr>
  </w:style>
  <w:style w:type="paragraph" w:styleId="Heading9">
    <w:name w:val="heading 9"/>
    <w:basedOn w:val="Normal"/>
    <w:qFormat/>
    <w:pPr>
      <w:tabs>
        <w:tab w:val="left" w:pos="202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lMaterialsTitle">
    <w:name w:val="Add'l Materials Title"/>
    <w:basedOn w:val="Title"/>
    <w:next w:val="Normal"/>
    <w:rPr>
      <w:b w:val="0"/>
      <w:u w:val="single"/>
    </w:rPr>
  </w:style>
  <w:style w:type="character" w:customStyle="1" w:styleId="TitleChar">
    <w:name w:val="Title Char"/>
    <w:aliases w:val="t Char"/>
    <w:link w:val="Title"/>
    <w:rPr>
      <w:b/>
      <w:sz w:val="24"/>
      <w:szCs w:val="24"/>
      <w:lang w:val="en-US" w:eastAsia="en-US" w:bidi="ar-SA"/>
    </w:rPr>
  </w:style>
  <w:style w:type="paragraph" w:customStyle="1" w:styleId="Spacer">
    <w:name w:val="Spacer"/>
    <w:basedOn w:val="BodyText"/>
    <w:pPr>
      <w:ind w:firstLine="0"/>
    </w:p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FootnoteTextChar">
    <w:name w:val="Footnote Text Char"/>
    <w:link w:val="FootnoteText"/>
    <w:uiPriority w:val="99"/>
    <w:rPr>
      <w:szCs w:val="22"/>
    </w:rPr>
  </w:style>
  <w:style w:type="paragraph" w:customStyle="1" w:styleId="DocID">
    <w:name w:val="DocID"/>
    <w:basedOn w:val="Normal"/>
    <w:uiPriority w:val="25"/>
    <w:rPr>
      <w:rFonts w:eastAsia="SimSun"/>
      <w:sz w:val="16"/>
      <w:szCs w:val="22"/>
      <w:lang w:eastAsia="zh-CN"/>
    </w:rPr>
  </w:style>
  <w:style w:type="paragraph" w:customStyle="1" w:styleId="RBUBullets">
    <w:name w:val="RBU Bullets"/>
    <w:basedOn w:val="Normal"/>
    <w:link w:val="RBUBulletsChar"/>
    <w:pPr>
      <w:numPr>
        <w:numId w:val="24"/>
      </w:numPr>
      <w:spacing w:after="120"/>
    </w:pPr>
    <w:rPr>
      <w:rFonts w:eastAsia="Calibri"/>
    </w:rPr>
  </w:style>
  <w:style w:type="character" w:customStyle="1" w:styleId="RBUBulletsChar">
    <w:name w:val="RBU Bullets Char"/>
    <w:link w:val="RBUBullets"/>
    <w:rPr>
      <w:rFonts w:eastAsia="Calibri"/>
      <w:sz w:val="24"/>
      <w:lang w:eastAsia="en-US"/>
    </w:rPr>
  </w:style>
  <w:style w:type="paragraph" w:customStyle="1" w:styleId="RB9Bullets">
    <w:name w:val="RB9 Bullets"/>
    <w:basedOn w:val="Normal"/>
    <w:link w:val="RB9BulletsChar"/>
    <w:pPr>
      <w:numPr>
        <w:ilvl w:val="8"/>
        <w:numId w:val="24"/>
      </w:numPr>
      <w:spacing w:after="120"/>
    </w:pPr>
    <w:rPr>
      <w:rFonts w:eastAsia="Calibri"/>
    </w:rPr>
  </w:style>
  <w:style w:type="character" w:customStyle="1" w:styleId="RB9BulletsChar">
    <w:name w:val="RB9 Bullets Char"/>
    <w:link w:val="RB9Bullets"/>
    <w:rPr>
      <w:rFonts w:eastAsia="Calibri"/>
      <w:sz w:val="24"/>
      <w:lang w:eastAsia="en-US"/>
    </w:rPr>
  </w:style>
  <w:style w:type="paragraph" w:customStyle="1" w:styleId="RB8Bullets">
    <w:name w:val="RB8 Bullets"/>
    <w:basedOn w:val="Normal"/>
    <w:link w:val="RB8BulletsChar"/>
    <w:pPr>
      <w:numPr>
        <w:ilvl w:val="7"/>
        <w:numId w:val="24"/>
      </w:numPr>
      <w:spacing w:after="120"/>
    </w:pPr>
    <w:rPr>
      <w:rFonts w:eastAsia="Calibri"/>
    </w:rPr>
  </w:style>
  <w:style w:type="paragraph" w:styleId="BlockText">
    <w:name w:val="Block Text"/>
    <w:aliases w:val="bl"/>
    <w:basedOn w:val="Normal"/>
    <w:pPr>
      <w:spacing w:after="240"/>
      <w:ind w:left="1440" w:right="1440"/>
    </w:pPr>
  </w:style>
  <w:style w:type="paragraph" w:styleId="BodyText">
    <w:name w:val="Body Text"/>
    <w:aliases w:val="b"/>
    <w:basedOn w:val="Normal"/>
    <w:pPr>
      <w:spacing w:after="240"/>
      <w:ind w:firstLine="720"/>
    </w:pPr>
  </w:style>
  <w:style w:type="paragraph" w:styleId="BodyText2">
    <w:name w:val="Body Text 2"/>
    <w:aliases w:val="b2"/>
    <w:basedOn w:val="Normal"/>
    <w:pPr>
      <w:spacing w:after="240"/>
    </w:pPr>
  </w:style>
  <w:style w:type="paragraph" w:styleId="BodyTextIndent">
    <w:name w:val="Body Text Indent"/>
    <w:aliases w:val="bi"/>
    <w:basedOn w:val="Normal"/>
    <w:pPr>
      <w:spacing w:after="240"/>
      <w:ind w:left="720"/>
    </w:pPr>
  </w:style>
  <w:style w:type="paragraph" w:styleId="BodyTextIndent2">
    <w:name w:val="Body Text Indent 2"/>
    <w:aliases w:val="bi2"/>
    <w:basedOn w:val="Normal"/>
    <w:pPr>
      <w:spacing w:after="240"/>
      <w:ind w:left="720" w:firstLine="720"/>
    </w:pPr>
  </w:style>
  <w:style w:type="paragraph" w:styleId="Footer">
    <w:name w:val="footer"/>
    <w:basedOn w:val="Normal"/>
    <w:pPr>
      <w:tabs>
        <w:tab w:val="center" w:pos="4680"/>
        <w:tab w:val="right" w:pos="9360"/>
      </w:tabs>
      <w:spacing w:after="60"/>
    </w:pPr>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pPr>
      <w:spacing w:after="60"/>
    </w:pPr>
    <w:rPr>
      <w:sz w:val="20"/>
      <w:szCs w:val="22"/>
    </w:rPr>
  </w:style>
  <w:style w:type="paragraph" w:styleId="Signature">
    <w:name w:val="Signature"/>
    <w:aliases w:val="sig"/>
    <w:basedOn w:val="Normal"/>
    <w:semiHidden/>
    <w:pPr>
      <w:keepNext/>
      <w:keepLines/>
      <w:ind w:left="4320"/>
    </w:pPr>
  </w:style>
  <w:style w:type="paragraph" w:styleId="Subtitle">
    <w:name w:val="Subtitle"/>
    <w:aliases w:val="st"/>
    <w:basedOn w:val="Normal"/>
    <w:next w:val="BodyText"/>
    <w:qFormat/>
    <w:pPr>
      <w:keepNext/>
      <w:keepLines/>
      <w:spacing w:after="240"/>
      <w:jc w:val="center"/>
    </w:pPr>
    <w:rPr>
      <w:caps/>
      <w:u w:val="single"/>
    </w:rPr>
  </w:style>
  <w:style w:type="paragraph" w:styleId="Title">
    <w:name w:val="Title"/>
    <w:aliases w:val="t"/>
    <w:basedOn w:val="Normal"/>
    <w:next w:val="BodyText"/>
    <w:link w:val="TitleChar"/>
    <w:qFormat/>
    <w:pPr>
      <w:keepNext/>
      <w:keepLines/>
      <w:spacing w:after="240"/>
      <w:jc w:val="center"/>
    </w:pPr>
    <w:rPr>
      <w:b/>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rPr>
      <w:b/>
      <w:color w:val="FF0000"/>
      <w:sz w:val="28"/>
      <w:vertAlign w:val="superscript"/>
    </w:rPr>
  </w:style>
  <w:style w:type="paragraph" w:styleId="EndnoteText">
    <w:name w:val="endnote text"/>
    <w:basedOn w:val="Normal"/>
    <w:pPr>
      <w:spacing w:after="120"/>
    </w:pPr>
    <w:rPr>
      <w:sz w:val="22"/>
      <w:szCs w:val="22"/>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otnoteReference">
    <w:name w:val="footnote reference"/>
    <w:uiPriority w:val="99"/>
    <w:rPr>
      <w:b/>
      <w:color w:val="FF0000"/>
      <w:sz w:val="28"/>
      <w:szCs w:val="28"/>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4"/>
      </w:numPr>
      <w:spacing w:after="240"/>
    </w:pPr>
    <w:rPr>
      <w:szCs w:val="24"/>
    </w:rPr>
  </w:style>
  <w:style w:type="paragraph" w:styleId="ListBullet2">
    <w:name w:val="List Bullet 2"/>
    <w:basedOn w:val="Normal"/>
    <w:autoRedefine/>
    <w:semiHidden/>
    <w:pPr>
      <w:numPr>
        <w:numId w:val="5"/>
      </w:numPr>
      <w:tabs>
        <w:tab w:val="clear" w:pos="720"/>
        <w:tab w:val="num" w:pos="360"/>
      </w:tabs>
      <w:ind w:left="0" w:firstLine="0"/>
    </w:pPr>
  </w:style>
  <w:style w:type="paragraph" w:styleId="ListBullet3">
    <w:name w:val="List Bullet 3"/>
    <w:basedOn w:val="Normal"/>
    <w:autoRedefine/>
    <w:semiHidden/>
    <w:pPr>
      <w:numPr>
        <w:numId w:val="6"/>
      </w:numPr>
      <w:tabs>
        <w:tab w:val="clear" w:pos="1080"/>
        <w:tab w:val="num" w:pos="360"/>
      </w:tabs>
      <w:ind w:left="0" w:firstLine="0"/>
    </w:pPr>
  </w:style>
  <w:style w:type="paragraph" w:styleId="ListBullet4">
    <w:name w:val="List Bullet 4"/>
    <w:basedOn w:val="Normal"/>
    <w:autoRedefine/>
    <w:semiHidden/>
    <w:pPr>
      <w:numPr>
        <w:numId w:val="7"/>
      </w:numPr>
      <w:tabs>
        <w:tab w:val="clear" w:pos="1440"/>
        <w:tab w:val="num" w:pos="360"/>
      </w:tabs>
      <w:ind w:left="0" w:firstLine="0"/>
    </w:pPr>
  </w:style>
  <w:style w:type="paragraph" w:styleId="ListBullet5">
    <w:name w:val="List Bullet 5"/>
    <w:basedOn w:val="Normal"/>
    <w:autoRedefine/>
    <w:semiHidden/>
    <w:pPr>
      <w:numPr>
        <w:numId w:val="8"/>
      </w:numPr>
      <w:tabs>
        <w:tab w:val="clear" w:pos="1800"/>
        <w:tab w:val="num" w:pos="360"/>
      </w:tabs>
      <w:ind w:left="0" w:firstLine="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9"/>
      </w:numPr>
      <w:ind w:left="0" w:firstLine="0"/>
    </w:pPr>
  </w:style>
  <w:style w:type="paragraph" w:styleId="ListNumber2">
    <w:name w:val="List Number 2"/>
    <w:basedOn w:val="Normal"/>
    <w:semiHidden/>
    <w:pPr>
      <w:numPr>
        <w:numId w:val="10"/>
      </w:numPr>
      <w:tabs>
        <w:tab w:val="clear" w:pos="720"/>
        <w:tab w:val="num" w:pos="360"/>
      </w:tabs>
      <w:ind w:left="0" w:firstLine="0"/>
    </w:pPr>
  </w:style>
  <w:style w:type="paragraph" w:styleId="ListNumber3">
    <w:name w:val="List Number 3"/>
    <w:basedOn w:val="Normal"/>
    <w:semiHidden/>
    <w:pPr>
      <w:numPr>
        <w:numId w:val="11"/>
      </w:numPr>
      <w:tabs>
        <w:tab w:val="clear" w:pos="1080"/>
        <w:tab w:val="num" w:pos="360"/>
      </w:tabs>
      <w:ind w:left="0" w:firstLine="0"/>
    </w:pPr>
  </w:style>
  <w:style w:type="paragraph" w:styleId="ListNumber4">
    <w:name w:val="List Number 4"/>
    <w:basedOn w:val="Normal"/>
    <w:semiHidden/>
    <w:pPr>
      <w:numPr>
        <w:numId w:val="12"/>
      </w:numPr>
      <w:tabs>
        <w:tab w:val="clear" w:pos="1440"/>
        <w:tab w:val="num" w:pos="360"/>
      </w:tabs>
      <w:ind w:left="0" w:firstLine="0"/>
    </w:pPr>
  </w:style>
  <w:style w:type="paragraph" w:styleId="ListNumber5">
    <w:name w:val="List Number 5"/>
    <w:basedOn w:val="Normal"/>
    <w:semiHidden/>
    <w:pPr>
      <w:numPr>
        <w:numId w:val="13"/>
      </w:numPr>
      <w:tabs>
        <w:tab w:val="clear" w:pos="1800"/>
        <w:tab w:val="num" w:pos="360"/>
      </w:tabs>
      <w:ind w:left="0" w:firstLine="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semiHidden/>
    <w:pPr>
      <w:widowControl w:val="0"/>
    </w:pPr>
    <w:rPr>
      <w:snapToGrid w:val="0"/>
    </w:rPr>
  </w:style>
  <w:style w:type="paragraph" w:styleId="Salutation">
    <w:name w:val="Salutation"/>
    <w:basedOn w:val="Normal"/>
    <w:next w:val="Normal"/>
    <w:semiHidden/>
  </w:style>
  <w:style w:type="character" w:styleId="Strong">
    <w:name w:val="Strong"/>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spacing w:after="120"/>
      <w:ind w:firstLine="210"/>
    </w:pPr>
  </w:style>
  <w:style w:type="paragraph" w:styleId="BodyTextIndent3">
    <w:name w:val="Body Text Indent 3"/>
    <w:basedOn w:val="Normal"/>
    <w:semiHidden/>
    <w:pPr>
      <w:spacing w:after="120"/>
      <w:ind w:left="360"/>
    </w:pPr>
    <w:rPr>
      <w:sz w:val="16"/>
      <w:szCs w:val="16"/>
    </w:rPr>
  </w:style>
  <w:style w:type="paragraph" w:styleId="BodyTextFirstIndent2">
    <w:name w:val="Body Text First Indent 2"/>
    <w:basedOn w:val="BodyTextIndent"/>
    <w:semiHidden/>
    <w:pPr>
      <w:spacing w:after="120"/>
      <w:ind w:left="360" w:firstLine="210"/>
    </w:pPr>
  </w:style>
  <w:style w:type="paragraph" w:customStyle="1" w:styleId="Style11ptBoldCenteredBoxSinglesolidlineAuto05pt">
    <w:name w:val="Style 11 pt Bold Centered Box: (Single solid line Auto  0.5 pt..."/>
    <w:basedOn w:val="Normal"/>
    <w:pPr>
      <w:jc w:val="center"/>
    </w:pPr>
    <w:rPr>
      <w:b/>
      <w:bCs/>
      <w:sz w:val="22"/>
    </w:rPr>
  </w:style>
  <w:style w:type="paragraph" w:customStyle="1" w:styleId="address">
    <w:name w:val="address"/>
    <w:basedOn w:val="BodyText"/>
    <w:semiHidden/>
    <w:pPr>
      <w:keepNext/>
      <w:spacing w:after="0"/>
      <w:ind w:left="1440" w:firstLine="0"/>
    </w:pPr>
  </w:style>
  <w:style w:type="paragraph" w:customStyle="1" w:styleId="Cover">
    <w:name w:val="Cover"/>
    <w:basedOn w:val="Normal"/>
    <w:pPr>
      <w:pBdr>
        <w:top w:val="double" w:sz="4" w:space="1" w:color="auto"/>
      </w:pBdr>
      <w:spacing w:after="240"/>
      <w:jc w:val="center"/>
    </w:pPr>
  </w:style>
  <w:style w:type="paragraph" w:customStyle="1" w:styleId="CoverPage">
    <w:name w:val="CoverPage"/>
    <w:basedOn w:val="Normal"/>
    <w:pPr>
      <w:spacing w:line="240" w:lineRule="exact"/>
    </w:pPr>
    <w:rPr>
      <w:rFonts w:ascii="Arial" w:hAnsi="Arial"/>
      <w:sz w:val="16"/>
    </w:rPr>
  </w:style>
  <w:style w:type="character" w:styleId="FollowedHyperlink">
    <w:name w:val="FollowedHyperlink"/>
    <w:rPr>
      <w:color w:val="800080"/>
      <w:u w:val="single"/>
    </w:rPr>
  </w:style>
  <w:style w:type="character" w:styleId="Hyperlink">
    <w:name w:val="Hyperlink"/>
    <w:rPr>
      <w:color w:val="0000FF"/>
      <w:u w:val="single"/>
    </w:rPr>
  </w:style>
  <w:style w:type="character" w:styleId="PageNumber">
    <w:name w:val="page number"/>
    <w:basedOn w:val="DefaultParagraphFont"/>
  </w:style>
  <w:style w:type="character" w:customStyle="1" w:styleId="PlainTextChar">
    <w:name w:val="Plain Text Char"/>
    <w:link w:val="PlainText"/>
    <w:rPr>
      <w:snapToGrid w:val="0"/>
      <w:sz w:val="24"/>
      <w:lang w:val="en-US" w:eastAsia="en-US" w:bidi="ar-SA"/>
    </w:rPr>
  </w:style>
  <w:style w:type="character" w:customStyle="1" w:styleId="RB8BulletsChar">
    <w:name w:val="RB8 Bullets Char"/>
    <w:link w:val="RB8Bullets"/>
    <w:rPr>
      <w:rFonts w:eastAsia="Calibri"/>
      <w:sz w:val="24"/>
      <w:lang w:eastAsia="en-US"/>
    </w:rPr>
  </w:style>
  <w:style w:type="paragraph" w:customStyle="1" w:styleId="RB7Bullets">
    <w:name w:val="RB7 Bullets"/>
    <w:basedOn w:val="Normal"/>
    <w:link w:val="RB7BulletsChar"/>
    <w:pPr>
      <w:numPr>
        <w:ilvl w:val="6"/>
        <w:numId w:val="24"/>
      </w:numPr>
      <w:spacing w:after="120"/>
    </w:pPr>
    <w:rPr>
      <w:rFonts w:eastAsia="Calibri"/>
    </w:rPr>
  </w:style>
  <w:style w:type="paragraph" w:customStyle="1" w:styleId="StylePlainText11ptItalic">
    <w:name w:val="Style Plain Text + 11 pt Italic"/>
    <w:basedOn w:val="PlainText"/>
    <w:link w:val="StylePlainText11ptItalicChar"/>
    <w:rPr>
      <w:i/>
      <w:iCs/>
      <w:sz w:val="22"/>
    </w:rPr>
  </w:style>
  <w:style w:type="character" w:customStyle="1" w:styleId="StylePlainText11ptItalicChar">
    <w:name w:val="Style Plain Text + 11 pt Italic Char"/>
    <w:link w:val="StylePlainText11ptItalic"/>
    <w:rPr>
      <w:i/>
      <w:iCs/>
      <w:snapToGrid w:val="0"/>
      <w:sz w:val="22"/>
      <w:lang w:val="en-US" w:eastAsia="en-US" w:bidi="ar-SA"/>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ellowBox">
    <w:name w:val="Yellow Box"/>
    <w:basedOn w:val="Normal"/>
    <w:next w:val="BodyText"/>
    <w:pPr>
      <w:pBdr>
        <w:top w:val="single" w:sz="4" w:space="1" w:color="auto"/>
        <w:left w:val="single" w:sz="4" w:space="4" w:color="auto"/>
        <w:bottom w:val="single" w:sz="4" w:space="1" w:color="auto"/>
        <w:right w:val="single" w:sz="4" w:space="4" w:color="auto"/>
      </w:pBdr>
      <w:shd w:val="clear" w:color="auto" w:fill="FFFF00"/>
    </w:pPr>
    <w:rPr>
      <w:sz w:val="22"/>
      <w:szCs w:val="22"/>
    </w:rPr>
  </w:style>
  <w:style w:type="character" w:customStyle="1" w:styleId="RB7BulletsChar">
    <w:name w:val="RB7 Bullets Char"/>
    <w:link w:val="RB7Bullets"/>
    <w:rPr>
      <w:rFonts w:eastAsia="Calibri"/>
      <w:sz w:val="24"/>
      <w:lang w:eastAsia="en-US"/>
    </w:rPr>
  </w:style>
  <w:style w:type="paragraph" w:customStyle="1" w:styleId="RB6Bullets">
    <w:name w:val="RB6 Bullets"/>
    <w:basedOn w:val="Normal"/>
    <w:link w:val="RB6BulletsChar"/>
    <w:pPr>
      <w:numPr>
        <w:ilvl w:val="5"/>
        <w:numId w:val="24"/>
      </w:numPr>
      <w:spacing w:after="120"/>
    </w:pPr>
    <w:rPr>
      <w:rFonts w:eastAsia="Calibri"/>
    </w:rPr>
  </w:style>
  <w:style w:type="character" w:customStyle="1" w:styleId="RB6BulletsChar">
    <w:name w:val="RB6 Bullets Char"/>
    <w:link w:val="RB6Bullets"/>
    <w:rPr>
      <w:rFonts w:eastAsia="Calibri"/>
      <w:sz w:val="24"/>
      <w:lang w:eastAsia="en-US"/>
    </w:rPr>
  </w:style>
  <w:style w:type="paragraph" w:customStyle="1" w:styleId="RB5Bullets">
    <w:name w:val="RB5 Bullets"/>
    <w:basedOn w:val="Normal"/>
    <w:link w:val="RB5BulletsChar"/>
    <w:pPr>
      <w:numPr>
        <w:ilvl w:val="4"/>
        <w:numId w:val="24"/>
      </w:numPr>
      <w:spacing w:after="120"/>
    </w:pPr>
    <w:rPr>
      <w:rFonts w:eastAsia="Calibri"/>
    </w:rPr>
  </w:style>
  <w:style w:type="character" w:customStyle="1" w:styleId="RB5BulletsChar">
    <w:name w:val="RB5 Bullets Char"/>
    <w:link w:val="RB5Bullets"/>
    <w:rPr>
      <w:rFonts w:eastAsia="Calibri"/>
      <w:sz w:val="24"/>
      <w:lang w:eastAsia="en-US"/>
    </w:rPr>
  </w:style>
  <w:style w:type="paragraph" w:customStyle="1" w:styleId="RB4Bullets">
    <w:name w:val="RB4 Bullets"/>
    <w:basedOn w:val="Normal"/>
    <w:link w:val="RB4BulletsChar"/>
    <w:pPr>
      <w:numPr>
        <w:ilvl w:val="3"/>
        <w:numId w:val="24"/>
      </w:numPr>
      <w:spacing w:after="120"/>
    </w:pPr>
    <w:rPr>
      <w:rFonts w:eastAsia="Calibri"/>
    </w:rPr>
  </w:style>
  <w:style w:type="character" w:customStyle="1" w:styleId="RB4BulletsChar">
    <w:name w:val="RB4 Bullets Char"/>
    <w:link w:val="RB4Bullets"/>
    <w:rPr>
      <w:rFonts w:eastAsia="Calibri"/>
      <w:sz w:val="24"/>
      <w:lang w:eastAsia="en-US"/>
    </w:rPr>
  </w:style>
  <w:style w:type="paragraph" w:customStyle="1" w:styleId="RB3Bullets">
    <w:name w:val="RB3 Bullets"/>
    <w:basedOn w:val="Normal"/>
    <w:link w:val="RB3BulletsChar"/>
    <w:pPr>
      <w:numPr>
        <w:ilvl w:val="2"/>
        <w:numId w:val="24"/>
      </w:numPr>
      <w:spacing w:after="120"/>
    </w:pPr>
    <w:rPr>
      <w:rFonts w:eastAsia="Calibri"/>
    </w:rPr>
  </w:style>
  <w:style w:type="character" w:customStyle="1" w:styleId="RB3BulletsChar">
    <w:name w:val="RB3 Bullets Char"/>
    <w:link w:val="RB3Bullets"/>
    <w:rPr>
      <w:rFonts w:eastAsia="Calibri"/>
      <w:sz w:val="24"/>
      <w:lang w:eastAsia="en-US"/>
    </w:rPr>
  </w:style>
  <w:style w:type="paragraph" w:customStyle="1" w:styleId="RB2Bullets">
    <w:name w:val="RB2 Bullets"/>
    <w:basedOn w:val="Normal"/>
    <w:link w:val="RB2BulletsChar"/>
    <w:pPr>
      <w:numPr>
        <w:ilvl w:val="1"/>
        <w:numId w:val="24"/>
      </w:numPr>
      <w:spacing w:after="120"/>
    </w:pPr>
    <w:rPr>
      <w:rFonts w:eastAsia="Calibri"/>
    </w:rPr>
  </w:style>
  <w:style w:type="character" w:customStyle="1" w:styleId="RB2BulletsChar">
    <w:name w:val="RB2 Bullets Char"/>
    <w:link w:val="RB2Bullets"/>
    <w:rPr>
      <w:rFonts w:eastAsia="Calibri"/>
      <w:sz w:val="24"/>
      <w:lang w:eastAsia="en-US"/>
    </w:rPr>
  </w:style>
  <w:style w:type="paragraph" w:styleId="Revision">
    <w:name w:val="Revision"/>
    <w:hidden/>
    <w:uiPriority w:val="99"/>
    <w:semiHidden/>
    <w:rPr>
      <w:sz w:val="24"/>
    </w:rPr>
  </w:style>
  <w:style w:type="character" w:customStyle="1" w:styleId="Heading2Char">
    <w:name w:val="Heading 2 Char"/>
    <w:basedOn w:val="DefaultParagraphFont"/>
    <w:link w:val="Heading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75523F-5F1E-4ED3-8534-DF7BA208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8932</Characters>
  <Application>Microsoft Office Word</Application>
  <DocSecurity>0</DocSecurity>
  <Lines>144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2025-11-06T14:42:00Z</dcterms:created>
  <dcterms:modified xsi:type="dcterms:W3CDTF">2025-11-06T14:53:00Z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146422449_1</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RGMatter">
    <vt:lpwstr>109799-0068</vt:lpwstr>
  </property>
</Properties>
</file>